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57FD" w14:textId="4E9C366F" w:rsidR="00FE0636" w:rsidRPr="00C6482C" w:rsidRDefault="00C6482C" w:rsidP="00172C1C">
      <w:pPr>
        <w:pStyle w:val="Heading2"/>
        <w:jc w:val="center"/>
        <w:rPr>
          <w:b/>
          <w:bCs/>
          <w:lang w:val="en-AU"/>
        </w:rPr>
      </w:pPr>
      <w:r>
        <w:rPr>
          <w:b/>
          <w:bCs/>
          <w:lang w:val="en-AU"/>
        </w:rPr>
        <w:t xml:space="preserve">Annual </w:t>
      </w:r>
      <w:r w:rsidR="00C95904" w:rsidRPr="00C6482C">
        <w:rPr>
          <w:b/>
          <w:bCs/>
          <w:lang w:val="en-AU"/>
        </w:rPr>
        <w:t>G</w:t>
      </w:r>
      <w:r w:rsidR="0086202B" w:rsidRPr="00C6482C">
        <w:rPr>
          <w:b/>
          <w:bCs/>
          <w:lang w:val="en-AU"/>
        </w:rPr>
        <w:t xml:space="preserve">eneral </w:t>
      </w:r>
      <w:r w:rsidR="00C95904" w:rsidRPr="00C6482C">
        <w:rPr>
          <w:b/>
          <w:bCs/>
          <w:lang w:val="en-AU"/>
        </w:rPr>
        <w:t>M</w:t>
      </w:r>
      <w:r w:rsidR="0086202B" w:rsidRPr="00C6482C">
        <w:rPr>
          <w:b/>
          <w:bCs/>
          <w:lang w:val="en-AU"/>
        </w:rPr>
        <w:t>eeting of</w:t>
      </w:r>
      <w:r w:rsidR="00FE0636" w:rsidRPr="00C6482C">
        <w:rPr>
          <w:b/>
          <w:bCs/>
          <w:lang w:val="en-AU"/>
        </w:rPr>
        <w:t xml:space="preserve"> </w:t>
      </w:r>
      <w:r w:rsidR="004055D7" w:rsidRPr="00C6482C">
        <w:rPr>
          <w:b/>
          <w:bCs/>
          <w:lang w:val="en-AU"/>
        </w:rPr>
        <w:t xml:space="preserve">ACT Rescue &amp; Foster </w:t>
      </w:r>
      <w:r w:rsidR="00FE0636" w:rsidRPr="00C6482C">
        <w:rPr>
          <w:b/>
          <w:bCs/>
          <w:lang w:val="en-AU"/>
        </w:rPr>
        <w:t>(</w:t>
      </w:r>
      <w:r w:rsidR="004055D7" w:rsidRPr="00C6482C">
        <w:rPr>
          <w:b/>
          <w:bCs/>
          <w:lang w:val="en-AU"/>
        </w:rPr>
        <w:t>ARF</w:t>
      </w:r>
      <w:r w:rsidR="00FE0636" w:rsidRPr="00C6482C">
        <w:rPr>
          <w:b/>
          <w:bCs/>
          <w:lang w:val="en-AU"/>
        </w:rPr>
        <w:t>)</w:t>
      </w:r>
      <w:r>
        <w:rPr>
          <w:b/>
          <w:bCs/>
          <w:lang w:val="en-AU"/>
        </w:rPr>
        <w:t xml:space="preserve"> on </w:t>
      </w:r>
      <w:r w:rsidR="003335F8" w:rsidRPr="00C6482C">
        <w:rPr>
          <w:b/>
          <w:bCs/>
          <w:lang w:val="en-AU"/>
        </w:rPr>
        <w:t>23</w:t>
      </w:r>
      <w:r w:rsidR="00336076" w:rsidRPr="00C6482C">
        <w:rPr>
          <w:b/>
          <w:bCs/>
          <w:lang w:val="en-AU"/>
        </w:rPr>
        <w:t xml:space="preserve"> November 2020</w:t>
      </w:r>
      <w:r w:rsidR="00844B71" w:rsidRPr="00C6482C">
        <w:rPr>
          <w:b/>
          <w:bCs/>
          <w:lang w:val="en-AU"/>
        </w:rPr>
        <w:t xml:space="preserve"> </w:t>
      </w:r>
      <w:r w:rsidR="000F38BA" w:rsidRPr="00C6482C">
        <w:rPr>
          <w:b/>
          <w:bCs/>
          <w:lang w:val="en-AU"/>
        </w:rPr>
        <w:softHyphen/>
      </w:r>
    </w:p>
    <w:p w14:paraId="7806D44B" w14:textId="3E94D665" w:rsidR="004F6959" w:rsidRPr="00C6482C" w:rsidRDefault="00FE0636" w:rsidP="00844B71">
      <w:pPr>
        <w:pStyle w:val="Heading2"/>
        <w:jc w:val="center"/>
        <w:rPr>
          <w:b/>
          <w:bCs/>
          <w:lang w:val="en-AU"/>
        </w:rPr>
      </w:pPr>
      <w:r w:rsidRPr="00C6482C">
        <w:rPr>
          <w:b/>
          <w:bCs/>
          <w:lang w:val="en-AU"/>
        </w:rPr>
        <w:t xml:space="preserve">– </w:t>
      </w:r>
      <w:r w:rsidR="000F38BA" w:rsidRPr="00C6482C">
        <w:rPr>
          <w:b/>
          <w:bCs/>
          <w:lang w:val="en-AU"/>
        </w:rPr>
        <w:t>explanation of</w:t>
      </w:r>
      <w:r w:rsidR="0086202B" w:rsidRPr="00C6482C">
        <w:rPr>
          <w:b/>
          <w:bCs/>
          <w:lang w:val="en-AU"/>
        </w:rPr>
        <w:t xml:space="preserve"> </w:t>
      </w:r>
      <w:r w:rsidR="00844B71" w:rsidRPr="00C6482C">
        <w:rPr>
          <w:b/>
          <w:bCs/>
          <w:lang w:val="en-AU"/>
        </w:rPr>
        <w:t xml:space="preserve">proposed changes to </w:t>
      </w:r>
      <w:r w:rsidR="00172C1C">
        <w:rPr>
          <w:b/>
          <w:bCs/>
          <w:lang w:val="en-AU"/>
        </w:rPr>
        <w:t xml:space="preserve">the </w:t>
      </w:r>
      <w:r w:rsidR="004055D7" w:rsidRPr="00C6482C">
        <w:rPr>
          <w:b/>
          <w:bCs/>
          <w:lang w:val="en-AU"/>
        </w:rPr>
        <w:t>ARF</w:t>
      </w:r>
      <w:r w:rsidR="00844B71" w:rsidRPr="00C6482C">
        <w:rPr>
          <w:b/>
          <w:bCs/>
          <w:lang w:val="en-AU"/>
        </w:rPr>
        <w:t xml:space="preserve"> Rule</w:t>
      </w:r>
      <w:r w:rsidR="009213B1" w:rsidRPr="00C6482C">
        <w:rPr>
          <w:b/>
          <w:bCs/>
          <w:lang w:val="en-AU"/>
        </w:rPr>
        <w:t>s</w:t>
      </w:r>
      <w:r w:rsidR="004055D7" w:rsidRPr="00C6482C">
        <w:rPr>
          <w:b/>
          <w:bCs/>
          <w:lang w:val="en-AU"/>
        </w:rPr>
        <w:t>,</w:t>
      </w:r>
      <w:r w:rsidR="0086202B" w:rsidRPr="00C6482C">
        <w:rPr>
          <w:b/>
          <w:bCs/>
          <w:lang w:val="en-AU"/>
        </w:rPr>
        <w:t xml:space="preserve"> and other significant statutory changes</w:t>
      </w:r>
    </w:p>
    <w:p w14:paraId="563AF0F9" w14:textId="2BA2A2DB" w:rsidR="009213B1" w:rsidRDefault="009213B1" w:rsidP="009213B1">
      <w:pPr>
        <w:rPr>
          <w:lang w:val="en-AU"/>
        </w:rPr>
      </w:pPr>
    </w:p>
    <w:p w14:paraId="194E6EFF" w14:textId="3D758888" w:rsidR="009213B1" w:rsidRDefault="009213B1" w:rsidP="009213B1">
      <w:pPr>
        <w:rPr>
          <w:lang w:val="en-AU"/>
        </w:rPr>
      </w:pPr>
      <w:r>
        <w:rPr>
          <w:lang w:val="en-AU"/>
        </w:rPr>
        <w:t xml:space="preserve">This document provides brief explanations of the changes to the </w:t>
      </w:r>
      <w:r w:rsidR="004055D7">
        <w:rPr>
          <w:lang w:val="en-AU"/>
        </w:rPr>
        <w:t>ARF</w:t>
      </w:r>
      <w:r>
        <w:rPr>
          <w:lang w:val="en-AU"/>
        </w:rPr>
        <w:t xml:space="preserve"> Rules provided for consideration by </w:t>
      </w:r>
      <w:r w:rsidR="004055D7">
        <w:rPr>
          <w:lang w:val="en-AU"/>
        </w:rPr>
        <w:t>ARF</w:t>
      </w:r>
      <w:r>
        <w:rPr>
          <w:lang w:val="en-AU"/>
        </w:rPr>
        <w:t xml:space="preserve"> members.  </w:t>
      </w:r>
      <w:r w:rsidR="000053B6">
        <w:rPr>
          <w:lang w:val="en-AU"/>
        </w:rPr>
        <w:t>I</w:t>
      </w:r>
      <w:r>
        <w:rPr>
          <w:lang w:val="en-AU"/>
        </w:rPr>
        <w:t xml:space="preserve">n addition to explanations of Rule changes, there is </w:t>
      </w:r>
      <w:r w:rsidR="0086202B">
        <w:rPr>
          <w:lang w:val="en-AU"/>
        </w:rPr>
        <w:t>additional</w:t>
      </w:r>
      <w:r>
        <w:rPr>
          <w:lang w:val="en-AU"/>
        </w:rPr>
        <w:t xml:space="preserve"> information on</w:t>
      </w:r>
      <w:r w:rsidR="00563DA6">
        <w:rPr>
          <w:lang w:val="en-AU"/>
        </w:rPr>
        <w:t xml:space="preserve"> some</w:t>
      </w:r>
      <w:r>
        <w:rPr>
          <w:lang w:val="en-AU"/>
        </w:rPr>
        <w:t xml:space="preserve"> other</w:t>
      </w:r>
      <w:r w:rsidR="0086202B">
        <w:rPr>
          <w:lang w:val="en-AU"/>
        </w:rPr>
        <w:t xml:space="preserve"> significant</w:t>
      </w:r>
      <w:r>
        <w:rPr>
          <w:lang w:val="en-AU"/>
        </w:rPr>
        <w:t xml:space="preserve"> recent changes to the ACT </w:t>
      </w:r>
      <w:r>
        <w:rPr>
          <w:i/>
          <w:iCs/>
          <w:lang w:val="en-AU"/>
        </w:rPr>
        <w:t>Associations Incorporation Act 1991</w:t>
      </w:r>
      <w:r>
        <w:rPr>
          <w:lang w:val="en-AU"/>
        </w:rPr>
        <w:t xml:space="preserve"> (the Act).</w:t>
      </w:r>
    </w:p>
    <w:p w14:paraId="7D13DDC7" w14:textId="7E302109" w:rsidR="008E6CF1" w:rsidRDefault="008E6CF1" w:rsidP="009213B1">
      <w:pPr>
        <w:rPr>
          <w:lang w:val="en-AU"/>
        </w:rPr>
      </w:pPr>
    </w:p>
    <w:p w14:paraId="17705F51" w14:textId="4AB22BAF" w:rsidR="008E6CF1" w:rsidRPr="004055D7" w:rsidRDefault="000F38BA" w:rsidP="009213B1">
      <w:pPr>
        <w:rPr>
          <w:color w:val="FF0000"/>
          <w:lang w:val="en-AU"/>
        </w:rPr>
      </w:pPr>
      <w:r>
        <w:rPr>
          <w:lang w:val="en-AU"/>
        </w:rPr>
        <w:t xml:space="preserve">In the copies of the </w:t>
      </w:r>
      <w:r w:rsidR="004055D7">
        <w:rPr>
          <w:lang w:val="en-AU"/>
        </w:rPr>
        <w:t>ARF</w:t>
      </w:r>
      <w:r>
        <w:rPr>
          <w:lang w:val="en-AU"/>
        </w:rPr>
        <w:t xml:space="preserve"> Rules sent out to members with the notice for this meeting, t</w:t>
      </w:r>
      <w:r w:rsidR="008E6CF1">
        <w:rPr>
          <w:lang w:val="en-AU"/>
        </w:rPr>
        <w:t>he proposed changes</w:t>
      </w:r>
      <w:r w:rsidR="00FE0636">
        <w:rPr>
          <w:lang w:val="en-AU"/>
        </w:rPr>
        <w:t xml:space="preserve"> shown in red</w:t>
      </w:r>
      <w:r>
        <w:rPr>
          <w:lang w:val="en-AU"/>
        </w:rPr>
        <w:t xml:space="preserve"> </w:t>
      </w:r>
      <w:r w:rsidR="008E6CF1">
        <w:rPr>
          <w:lang w:val="en-AU"/>
        </w:rPr>
        <w:t>are as they would appear in the Rules after being passed.</w:t>
      </w:r>
      <w:r w:rsidR="005B1329">
        <w:rPr>
          <w:lang w:val="en-AU"/>
        </w:rPr>
        <w:t xml:space="preserve">  For convenience in reading, deletions are not shown:</w:t>
      </w:r>
      <w:r w:rsidR="008E6CF1">
        <w:rPr>
          <w:lang w:val="en-AU"/>
        </w:rPr>
        <w:t xml:space="preserve">  </w:t>
      </w:r>
      <w:r w:rsidR="005B1329">
        <w:rPr>
          <w:lang w:val="en-AU"/>
        </w:rPr>
        <w:t>i</w:t>
      </w:r>
      <w:r w:rsidR="008E6CF1">
        <w:rPr>
          <w:lang w:val="en-AU"/>
        </w:rPr>
        <w:t xml:space="preserve">f members want to know what the Rules look like now, </w:t>
      </w:r>
      <w:r w:rsidR="00AA6FA5">
        <w:rPr>
          <w:lang w:val="en-AU"/>
        </w:rPr>
        <w:t>an electronic copy</w:t>
      </w:r>
      <w:r w:rsidR="008E6CF1">
        <w:rPr>
          <w:lang w:val="en-AU"/>
        </w:rPr>
        <w:t xml:space="preserve"> will be available </w:t>
      </w:r>
      <w:r w:rsidR="00C800B3">
        <w:rPr>
          <w:lang w:val="en-AU"/>
        </w:rPr>
        <w:t xml:space="preserve">on the website </w:t>
      </w:r>
      <w:r w:rsidR="00C6482C">
        <w:rPr>
          <w:lang w:val="en-AU"/>
        </w:rPr>
        <w:t xml:space="preserve">and copies will be available </w:t>
      </w:r>
      <w:r w:rsidR="00F37891">
        <w:rPr>
          <w:lang w:val="en-AU"/>
        </w:rPr>
        <w:t xml:space="preserve">at the </w:t>
      </w:r>
      <w:r w:rsidR="00C6482C">
        <w:rPr>
          <w:lang w:val="en-AU"/>
        </w:rPr>
        <w:t xml:space="preserve">Annual </w:t>
      </w:r>
      <w:r>
        <w:rPr>
          <w:lang w:val="en-AU"/>
        </w:rPr>
        <w:t xml:space="preserve">General </w:t>
      </w:r>
      <w:r w:rsidR="008E6CF1">
        <w:rPr>
          <w:lang w:val="en-AU"/>
        </w:rPr>
        <w:t>Meetin</w:t>
      </w:r>
      <w:r w:rsidR="00F37891">
        <w:rPr>
          <w:lang w:val="en-AU"/>
        </w:rPr>
        <w:t>g</w:t>
      </w:r>
      <w:r w:rsidR="008E6CF1">
        <w:rPr>
          <w:lang w:val="en-AU"/>
        </w:rPr>
        <w:t>.</w:t>
      </w:r>
      <w:r w:rsidR="004055D7">
        <w:rPr>
          <w:lang w:val="en-AU"/>
        </w:rPr>
        <w:t xml:space="preserve">  </w:t>
      </w:r>
    </w:p>
    <w:p w14:paraId="05DFEBF2" w14:textId="7A6B45E7" w:rsidR="00464F18" w:rsidRDefault="00464F18" w:rsidP="009213B1">
      <w:pPr>
        <w:rPr>
          <w:lang w:val="en-AU"/>
        </w:rPr>
      </w:pPr>
    </w:p>
    <w:p w14:paraId="0065A875" w14:textId="030C2D97" w:rsidR="00464F18" w:rsidRPr="004E433F" w:rsidRDefault="0094258D" w:rsidP="009213B1">
      <w:pPr>
        <w:rPr>
          <w:b/>
          <w:bCs/>
          <w:i/>
          <w:iCs/>
          <w:lang w:val="en-AU"/>
        </w:rPr>
      </w:pPr>
      <w:r>
        <w:rPr>
          <w:lang w:val="en-AU"/>
        </w:rPr>
        <w:t>It is suggested that the</w:t>
      </w:r>
      <w:r w:rsidR="00184301">
        <w:rPr>
          <w:lang w:val="en-AU"/>
        </w:rPr>
        <w:t xml:space="preserve"> groups of</w:t>
      </w:r>
      <w:r>
        <w:rPr>
          <w:lang w:val="en-AU"/>
        </w:rPr>
        <w:t xml:space="preserve"> changes</w:t>
      </w:r>
      <w:r w:rsidR="00184301">
        <w:rPr>
          <w:lang w:val="en-AU"/>
        </w:rPr>
        <w:t xml:space="preserve"> set out below</w:t>
      </w:r>
      <w:r>
        <w:rPr>
          <w:lang w:val="en-AU"/>
        </w:rPr>
        <w:t xml:space="preserve"> be discussed individually on an informal basis and any changes to them agreed upon at that point by the mover and seconder</w:t>
      </w:r>
      <w:r w:rsidR="00FC1D15">
        <w:rPr>
          <w:lang w:val="en-AU"/>
        </w:rPr>
        <w:t xml:space="preserve"> of the overall motion to amend the Rules (see next sentence)</w:t>
      </w:r>
      <w:r>
        <w:rPr>
          <w:lang w:val="en-AU"/>
        </w:rPr>
        <w:t>,</w:t>
      </w:r>
      <w:r w:rsidR="00563DA6">
        <w:rPr>
          <w:lang w:val="en-AU"/>
        </w:rPr>
        <w:t xml:space="preserve"> or determined by a simple majority vote</w:t>
      </w:r>
      <w:r w:rsidR="005B1329">
        <w:rPr>
          <w:lang w:val="en-AU"/>
        </w:rPr>
        <w:t>.</w:t>
      </w:r>
      <w:r>
        <w:rPr>
          <w:lang w:val="en-AU"/>
        </w:rPr>
        <w:t xml:space="preserve"> </w:t>
      </w:r>
      <w:r w:rsidR="005B1329">
        <w:rPr>
          <w:lang w:val="en-AU"/>
        </w:rPr>
        <w:t xml:space="preserve"> F</w:t>
      </w:r>
      <w:r>
        <w:rPr>
          <w:lang w:val="en-AU"/>
        </w:rPr>
        <w:t>ollowing that</w:t>
      </w:r>
      <w:r w:rsidR="000F38BA">
        <w:rPr>
          <w:lang w:val="en-AU"/>
        </w:rPr>
        <w:t xml:space="preserve"> process,</w:t>
      </w:r>
      <w:r>
        <w:rPr>
          <w:lang w:val="en-AU"/>
        </w:rPr>
        <w:t xml:space="preserve"> </w:t>
      </w:r>
      <w:r w:rsidR="00FC1D15">
        <w:rPr>
          <w:lang w:val="en-AU"/>
        </w:rPr>
        <w:t>the</w:t>
      </w:r>
      <w:r>
        <w:rPr>
          <w:lang w:val="en-AU"/>
        </w:rPr>
        <w:t xml:space="preserve"> motion to accept the Rules as proposed and amended should be</w:t>
      </w:r>
      <w:r w:rsidR="00742376">
        <w:rPr>
          <w:lang w:val="en-AU"/>
        </w:rPr>
        <w:t xml:space="preserve"> </w:t>
      </w:r>
      <w:r>
        <w:rPr>
          <w:lang w:val="en-AU"/>
        </w:rPr>
        <w:t xml:space="preserve">debated and voted on – </w:t>
      </w:r>
      <w:r w:rsidR="0046427C">
        <w:rPr>
          <w:lang w:val="en-AU"/>
        </w:rPr>
        <w:t>to be successful, the motion</w:t>
      </w:r>
      <w:r w:rsidR="000F38BA">
        <w:rPr>
          <w:lang w:val="en-AU"/>
        </w:rPr>
        <w:t xml:space="preserve"> will </w:t>
      </w:r>
      <w:r>
        <w:rPr>
          <w:lang w:val="en-AU"/>
        </w:rPr>
        <w:t xml:space="preserve">need to be passed as a special resolution requiring a majority of 75% of eligible members voting in person or by proxy in accordance with </w:t>
      </w:r>
      <w:r w:rsidR="00563DA6">
        <w:rPr>
          <w:lang w:val="en-AU"/>
        </w:rPr>
        <w:t xml:space="preserve">section </w:t>
      </w:r>
      <w:r w:rsidR="005B1329">
        <w:rPr>
          <w:lang w:val="en-AU"/>
        </w:rPr>
        <w:t>7</w:t>
      </w:r>
      <w:r w:rsidR="00563DA6">
        <w:rPr>
          <w:lang w:val="en-AU"/>
        </w:rPr>
        <w:t>0 of the</w:t>
      </w:r>
      <w:r w:rsidR="00A41315">
        <w:rPr>
          <w:lang w:val="en-AU"/>
        </w:rPr>
        <w:t xml:space="preserve"> Act (</w:t>
      </w:r>
      <w:r w:rsidR="00184301">
        <w:rPr>
          <w:lang w:val="en-AU"/>
        </w:rPr>
        <w:t xml:space="preserve">and </w:t>
      </w:r>
      <w:r w:rsidR="00A41315">
        <w:rPr>
          <w:lang w:val="en-AU"/>
        </w:rPr>
        <w:t xml:space="preserve">see </w:t>
      </w:r>
      <w:r w:rsidR="00184301">
        <w:rPr>
          <w:lang w:val="en-AU"/>
        </w:rPr>
        <w:t>rule</w:t>
      </w:r>
      <w:r w:rsidR="00A41315">
        <w:rPr>
          <w:lang w:val="en-AU"/>
        </w:rPr>
        <w:t xml:space="preserve"> 33(1)</w:t>
      </w:r>
      <w:r w:rsidR="00184301">
        <w:rPr>
          <w:lang w:val="en-AU"/>
        </w:rPr>
        <w:t xml:space="preserve"> for the required notice</w:t>
      </w:r>
      <w:r w:rsidR="00A41315">
        <w:rPr>
          <w:lang w:val="en-AU"/>
        </w:rPr>
        <w:t>)</w:t>
      </w:r>
      <w:r w:rsidR="004E433F">
        <w:rPr>
          <w:lang w:val="en-AU"/>
        </w:rPr>
        <w:t>.</w:t>
      </w:r>
    </w:p>
    <w:p w14:paraId="37D2B276" w14:textId="291526F2" w:rsidR="009213B1" w:rsidRDefault="009213B1" w:rsidP="009213B1">
      <w:pPr>
        <w:rPr>
          <w:lang w:val="en-AU"/>
        </w:rPr>
      </w:pPr>
    </w:p>
    <w:p w14:paraId="2B83CFBB" w14:textId="33BD1AF6" w:rsidR="009213B1" w:rsidRPr="008E6CF1" w:rsidRDefault="008E6CF1" w:rsidP="009213B1">
      <w:pPr>
        <w:rPr>
          <w:b/>
          <w:bCs/>
          <w:i/>
          <w:iCs/>
          <w:lang w:val="en-AU"/>
        </w:rPr>
      </w:pPr>
      <w:r>
        <w:rPr>
          <w:b/>
          <w:bCs/>
          <w:i/>
          <w:iCs/>
          <w:lang w:val="en-AU"/>
        </w:rPr>
        <w:t>Background</w:t>
      </w:r>
    </w:p>
    <w:p w14:paraId="776AF5C5" w14:textId="6F3805C3" w:rsidR="009213B1" w:rsidRPr="00E57B45" w:rsidRDefault="009213B1" w:rsidP="009213B1">
      <w:pPr>
        <w:rPr>
          <w:b/>
          <w:bCs/>
          <w:lang w:val="en-AU"/>
        </w:rPr>
      </w:pPr>
      <w:r>
        <w:rPr>
          <w:lang w:val="en-AU"/>
        </w:rPr>
        <w:t xml:space="preserve">In the </w:t>
      </w:r>
      <w:r>
        <w:rPr>
          <w:i/>
          <w:iCs/>
          <w:lang w:val="en-AU"/>
        </w:rPr>
        <w:t>Red Tape Reduction Legislation Amendment Act 2018</w:t>
      </w:r>
      <w:r>
        <w:rPr>
          <w:lang w:val="en-AU"/>
        </w:rPr>
        <w:t xml:space="preserve"> (the RTR Act),</w:t>
      </w:r>
      <w:r>
        <w:rPr>
          <w:i/>
          <w:iCs/>
          <w:lang w:val="en-AU"/>
        </w:rPr>
        <w:t xml:space="preserve"> </w:t>
      </w:r>
      <w:r>
        <w:rPr>
          <w:lang w:val="en-AU"/>
        </w:rPr>
        <w:t>the ACT Legislative Assembly made a number of reforms to the Act.  The RTR Act was passed in October 2018, and the provisions relevant to incorporated associations came into force on 1 July 2019.  There was supposed to be time for associations to make relevant changes to their Rules</w:t>
      </w:r>
      <w:r w:rsidR="008E6CF1">
        <w:rPr>
          <w:lang w:val="en-AU"/>
        </w:rPr>
        <w:t xml:space="preserve"> before </w:t>
      </w:r>
      <w:r w:rsidR="00C006AA">
        <w:rPr>
          <w:lang w:val="en-AU"/>
        </w:rPr>
        <w:t>the amendments</w:t>
      </w:r>
      <w:r w:rsidR="008E6CF1">
        <w:rPr>
          <w:lang w:val="en-AU"/>
        </w:rPr>
        <w:t xml:space="preserve"> came into effect</w:t>
      </w:r>
      <w:r>
        <w:rPr>
          <w:lang w:val="en-AU"/>
        </w:rPr>
        <w:t xml:space="preserve">, but as far as we can tell, </w:t>
      </w:r>
      <w:r w:rsidR="008E6CF1">
        <w:rPr>
          <w:lang w:val="en-AU"/>
        </w:rPr>
        <w:t>associations weren’t directly informed by Access Canberra until a circular letter from the Registrar–General dated 29 July 2019.</w:t>
      </w:r>
      <w:r w:rsidR="00B807E8">
        <w:rPr>
          <w:lang w:val="en-AU"/>
        </w:rPr>
        <w:t xml:space="preserve">  No changes have been made</w:t>
      </w:r>
      <w:r w:rsidR="00F00BA0">
        <w:rPr>
          <w:lang w:val="en-AU"/>
        </w:rPr>
        <w:t xml:space="preserve"> by government</w:t>
      </w:r>
      <w:r w:rsidR="00B807E8">
        <w:rPr>
          <w:lang w:val="en-AU"/>
        </w:rPr>
        <w:t xml:space="preserve"> to the Model Rules, or other</w:t>
      </w:r>
      <w:r w:rsidR="0046427C">
        <w:rPr>
          <w:lang w:val="en-AU"/>
        </w:rPr>
        <w:t xml:space="preserve"> detailed</w:t>
      </w:r>
      <w:r w:rsidR="00B807E8">
        <w:rPr>
          <w:lang w:val="en-AU"/>
        </w:rPr>
        <w:t xml:space="preserve"> guidance provided to help implement the significant new provisions.</w:t>
      </w:r>
      <w:r w:rsidR="00F00BA0">
        <w:rPr>
          <w:lang w:val="en-AU"/>
        </w:rPr>
        <w:t xml:space="preserve"> </w:t>
      </w:r>
      <w:r w:rsidR="00F00BA0" w:rsidRPr="00E57B45">
        <w:rPr>
          <w:b/>
          <w:bCs/>
          <w:u w:val="single"/>
          <w:lang w:val="en-AU"/>
        </w:rPr>
        <w:t>Note: Access Canberra has seen a copy of the Rules as proposed to be amended and has raised no objections.  We thank them for that assistance</w:t>
      </w:r>
      <w:r w:rsidR="00F00BA0" w:rsidRPr="00E57B45">
        <w:rPr>
          <w:b/>
          <w:bCs/>
          <w:lang w:val="en-AU"/>
        </w:rPr>
        <w:t>.</w:t>
      </w:r>
    </w:p>
    <w:p w14:paraId="5D63838C" w14:textId="77777777" w:rsidR="009213B1" w:rsidRPr="00E57B45" w:rsidRDefault="009213B1" w:rsidP="009213B1">
      <w:pPr>
        <w:rPr>
          <w:b/>
          <w:bCs/>
          <w:lang w:val="en-AU"/>
        </w:rPr>
      </w:pPr>
    </w:p>
    <w:p w14:paraId="38A43B60" w14:textId="48A28085" w:rsidR="00DC68CD" w:rsidRDefault="009213B1" w:rsidP="009213B1">
      <w:pPr>
        <w:rPr>
          <w:lang w:val="en-AU"/>
        </w:rPr>
      </w:pPr>
      <w:r>
        <w:rPr>
          <w:lang w:val="en-AU"/>
        </w:rPr>
        <w:t>Some of those reforms call</w:t>
      </w:r>
      <w:r w:rsidR="008E6CF1">
        <w:rPr>
          <w:lang w:val="en-AU"/>
        </w:rPr>
        <w:t>ed</w:t>
      </w:r>
      <w:r>
        <w:rPr>
          <w:lang w:val="en-AU"/>
        </w:rPr>
        <w:t xml:space="preserve"> for, or are suitable to be reflected in, amendments to the Rules</w:t>
      </w:r>
      <w:r w:rsidR="008E6CF1">
        <w:rPr>
          <w:lang w:val="en-AU"/>
        </w:rPr>
        <w:t xml:space="preserve"> of associations</w:t>
      </w:r>
      <w:r>
        <w:rPr>
          <w:lang w:val="en-AU"/>
        </w:rPr>
        <w:t xml:space="preserve">, and some don’t </w:t>
      </w:r>
      <w:r w:rsidR="0086202B">
        <w:rPr>
          <w:lang w:val="en-AU"/>
        </w:rPr>
        <w:t>necessitate</w:t>
      </w:r>
      <w:r>
        <w:rPr>
          <w:lang w:val="en-AU"/>
        </w:rPr>
        <w:t xml:space="preserve"> any changes to the Rules.</w:t>
      </w:r>
      <w:r w:rsidR="00592D4D">
        <w:rPr>
          <w:lang w:val="en-AU"/>
        </w:rPr>
        <w:t xml:space="preserve">  Some changes confer new rights on Members.</w:t>
      </w:r>
      <w:r w:rsidR="00F00BA0">
        <w:rPr>
          <w:lang w:val="en-AU"/>
        </w:rPr>
        <w:t xml:space="preserve"> </w:t>
      </w:r>
    </w:p>
    <w:p w14:paraId="75DCA6DE" w14:textId="2CFA7F98" w:rsidR="00F00BA0" w:rsidRDefault="00F00BA0" w:rsidP="009213B1">
      <w:pPr>
        <w:rPr>
          <w:lang w:val="en-AU"/>
        </w:rPr>
      </w:pPr>
    </w:p>
    <w:p w14:paraId="20FDC842" w14:textId="50A6E733" w:rsidR="00F00BA0" w:rsidRDefault="00F00BA0" w:rsidP="009213B1">
      <w:pPr>
        <w:rPr>
          <w:lang w:val="en-AU"/>
        </w:rPr>
      </w:pPr>
      <w:r>
        <w:rPr>
          <w:lang w:val="en-AU"/>
        </w:rPr>
        <w:t xml:space="preserve">In addition to changes to the Rules resulting from the RTR Act, the Committee has suggested a number of changes to the Rules proposing a reduction in the categories of membership and consequential amendments, and a number of other minor amendments.  Also, new permanent Rules are proposed to provide for ‘remote’ meetings of the Committee and the association (new rules </w:t>
      </w:r>
      <w:r w:rsidR="00CC3A9A">
        <w:rPr>
          <w:lang w:val="en-AU"/>
        </w:rPr>
        <w:t>26A</w:t>
      </w:r>
      <w:r>
        <w:rPr>
          <w:lang w:val="en-AU"/>
        </w:rPr>
        <w:t xml:space="preserve"> and </w:t>
      </w:r>
      <w:r w:rsidR="00CC3A9A">
        <w:rPr>
          <w:lang w:val="en-AU"/>
        </w:rPr>
        <w:t>34</w:t>
      </w:r>
      <w:r w:rsidR="004E6055">
        <w:rPr>
          <w:lang w:val="en-AU"/>
        </w:rPr>
        <w:t>A</w:t>
      </w:r>
      <w:r>
        <w:rPr>
          <w:lang w:val="en-AU"/>
        </w:rPr>
        <w:t>).</w:t>
      </w:r>
    </w:p>
    <w:p w14:paraId="799CA27E" w14:textId="77777777" w:rsidR="00EB0CCC" w:rsidRDefault="00EB0CCC" w:rsidP="009213B1">
      <w:pPr>
        <w:rPr>
          <w:lang w:val="en-AU"/>
        </w:rPr>
      </w:pPr>
    </w:p>
    <w:p w14:paraId="3B3FEB1F" w14:textId="2C9E88E3" w:rsidR="00DC68CD" w:rsidRDefault="00DC68CD" w:rsidP="009213B1">
      <w:pPr>
        <w:rPr>
          <w:lang w:val="en-AU"/>
        </w:rPr>
      </w:pPr>
      <w:r>
        <w:rPr>
          <w:lang w:val="en-AU"/>
        </w:rPr>
        <w:lastRenderedPageBreak/>
        <w:t>Some minor typographical errors</w:t>
      </w:r>
      <w:r w:rsidR="00F00BA0">
        <w:rPr>
          <w:lang w:val="en-AU"/>
        </w:rPr>
        <w:t xml:space="preserve"> in the existing Rules</w:t>
      </w:r>
      <w:r>
        <w:rPr>
          <w:lang w:val="en-AU"/>
        </w:rPr>
        <w:t xml:space="preserve"> have been amended – they are shown in red, but are not discussed here.</w:t>
      </w:r>
      <w:r w:rsidR="00D25F82">
        <w:rPr>
          <w:lang w:val="en-AU"/>
        </w:rPr>
        <w:t xml:space="preserve">  Silent renumbering of existing misnumbered rules from 41, ‘Alteration of objects and rules’ to 46, ‘Surplus property’, has occurred.</w:t>
      </w:r>
    </w:p>
    <w:p w14:paraId="2C7267CB" w14:textId="3C04A426" w:rsidR="00592D4D" w:rsidRDefault="00592D4D" w:rsidP="009213B1">
      <w:pPr>
        <w:rPr>
          <w:lang w:val="en-AU"/>
        </w:rPr>
      </w:pPr>
    </w:p>
    <w:p w14:paraId="191A11A3" w14:textId="7D761C13" w:rsidR="00592D4D" w:rsidRPr="00592D4D" w:rsidRDefault="00592D4D" w:rsidP="009213B1">
      <w:pPr>
        <w:rPr>
          <w:b/>
          <w:bCs/>
          <w:i/>
          <w:iCs/>
          <w:lang w:val="en-AU"/>
        </w:rPr>
      </w:pPr>
      <w:r>
        <w:rPr>
          <w:b/>
          <w:bCs/>
          <w:i/>
          <w:iCs/>
          <w:lang w:val="en-AU"/>
        </w:rPr>
        <w:t xml:space="preserve">Reasons for proposed changes to </w:t>
      </w:r>
      <w:r w:rsidR="00EB0CCC">
        <w:rPr>
          <w:b/>
          <w:bCs/>
          <w:i/>
          <w:iCs/>
          <w:lang w:val="en-AU"/>
        </w:rPr>
        <w:t>ARF</w:t>
      </w:r>
      <w:r>
        <w:rPr>
          <w:b/>
          <w:bCs/>
          <w:i/>
          <w:iCs/>
          <w:lang w:val="en-AU"/>
        </w:rPr>
        <w:t xml:space="preserve"> Rules and information on other major changes</w:t>
      </w:r>
    </w:p>
    <w:p w14:paraId="6EEA4396" w14:textId="13C3572B" w:rsidR="008E6CF1" w:rsidRDefault="008E6CF1" w:rsidP="009213B1">
      <w:pPr>
        <w:rPr>
          <w:lang w:val="en-AU"/>
        </w:rPr>
      </w:pPr>
      <w:r>
        <w:rPr>
          <w:lang w:val="en-AU"/>
        </w:rPr>
        <w:t>The following</w:t>
      </w:r>
      <w:r w:rsidR="00592D4D">
        <w:rPr>
          <w:lang w:val="en-AU"/>
        </w:rPr>
        <w:t xml:space="preserve"> points</w:t>
      </w:r>
      <w:r>
        <w:rPr>
          <w:lang w:val="en-AU"/>
        </w:rPr>
        <w:t xml:space="preserve"> explain the main proposed changes to the </w:t>
      </w:r>
      <w:r w:rsidR="00EB0CCC">
        <w:rPr>
          <w:lang w:val="en-AU"/>
        </w:rPr>
        <w:t>ARF</w:t>
      </w:r>
      <w:r>
        <w:rPr>
          <w:lang w:val="en-AU"/>
        </w:rPr>
        <w:t xml:space="preserve"> Rules</w:t>
      </w:r>
      <w:r w:rsidR="00EC4212">
        <w:rPr>
          <w:lang w:val="en-AU"/>
        </w:rPr>
        <w:t xml:space="preserve"> together with</w:t>
      </w:r>
      <w:r>
        <w:rPr>
          <w:lang w:val="en-AU"/>
        </w:rPr>
        <w:t xml:space="preserve"> information about</w:t>
      </w:r>
      <w:r w:rsidR="00D13EE3">
        <w:rPr>
          <w:lang w:val="en-AU"/>
        </w:rPr>
        <w:t xml:space="preserve"> some</w:t>
      </w:r>
      <w:r>
        <w:rPr>
          <w:lang w:val="en-AU"/>
        </w:rPr>
        <w:t xml:space="preserve"> other </w:t>
      </w:r>
      <w:r w:rsidR="00EC4212">
        <w:rPr>
          <w:lang w:val="en-AU"/>
        </w:rPr>
        <w:t>significant</w:t>
      </w:r>
      <w:r>
        <w:rPr>
          <w:lang w:val="en-AU"/>
        </w:rPr>
        <w:t xml:space="preserve"> changes</w:t>
      </w:r>
      <w:r w:rsidR="00EC4212">
        <w:rPr>
          <w:lang w:val="en-AU"/>
        </w:rPr>
        <w:t xml:space="preserve"> to the Act</w:t>
      </w:r>
      <w:r>
        <w:rPr>
          <w:lang w:val="en-AU"/>
        </w:rPr>
        <w:t>.</w:t>
      </w:r>
    </w:p>
    <w:p w14:paraId="64973192" w14:textId="77777777" w:rsidR="007F1C24" w:rsidRDefault="007F1C24" w:rsidP="009213B1">
      <w:pPr>
        <w:rPr>
          <w:lang w:val="en-AU"/>
        </w:rPr>
      </w:pPr>
    </w:p>
    <w:p w14:paraId="7A2F49D1" w14:textId="02C66721" w:rsidR="00A56B36" w:rsidRPr="00CF15C2" w:rsidRDefault="00EB0CCC" w:rsidP="00CF15C2">
      <w:pPr>
        <w:pStyle w:val="ListParagraph"/>
        <w:keepNext/>
        <w:numPr>
          <w:ilvl w:val="0"/>
          <w:numId w:val="10"/>
        </w:numPr>
        <w:rPr>
          <w:b/>
          <w:bCs/>
          <w:u w:val="single"/>
          <w:lang w:val="en-AU"/>
        </w:rPr>
      </w:pPr>
      <w:r w:rsidRPr="00CF15C2">
        <w:rPr>
          <w:b/>
          <w:bCs/>
          <w:u w:val="single"/>
          <w:lang w:val="en-AU"/>
        </w:rPr>
        <w:t>ARF</w:t>
      </w:r>
      <w:r w:rsidR="007F1C24" w:rsidRPr="00CF15C2">
        <w:rPr>
          <w:b/>
          <w:bCs/>
          <w:u w:val="single"/>
          <w:lang w:val="en-AU"/>
        </w:rPr>
        <w:t xml:space="preserve"> Rule changes</w:t>
      </w:r>
    </w:p>
    <w:p w14:paraId="6D8E649E" w14:textId="6E768B76" w:rsidR="000E223B" w:rsidRDefault="00F059EB" w:rsidP="00F059EB">
      <w:pPr>
        <w:pStyle w:val="ListParagraph"/>
        <w:keepNext/>
        <w:numPr>
          <w:ilvl w:val="0"/>
          <w:numId w:val="3"/>
        </w:numPr>
        <w:rPr>
          <w:b/>
          <w:bCs/>
          <w:lang w:val="en-AU"/>
        </w:rPr>
      </w:pPr>
      <w:r>
        <w:rPr>
          <w:b/>
          <w:bCs/>
          <w:lang w:val="en-AU"/>
        </w:rPr>
        <w:t>Changes proposed by the Committee to categories of membership and other minor amendments</w:t>
      </w:r>
    </w:p>
    <w:p w14:paraId="54D1206E" w14:textId="75CE7671" w:rsidR="00F059EB" w:rsidRDefault="002A7634" w:rsidP="00F059EB">
      <w:pPr>
        <w:rPr>
          <w:lang w:val="en-AU"/>
        </w:rPr>
      </w:pPr>
      <w:r>
        <w:rPr>
          <w:lang w:val="en-AU"/>
        </w:rPr>
        <w:t xml:space="preserve">The Committee proposes to delete the following categories of membership as no longer required: associate members and honorary members.  This has resulted in the deletion of </w:t>
      </w:r>
      <w:r w:rsidR="00AC366E">
        <w:rPr>
          <w:lang w:val="en-AU"/>
        </w:rPr>
        <w:t>two dot points in rule 2,</w:t>
      </w:r>
      <w:r>
        <w:rPr>
          <w:lang w:val="en-AU"/>
        </w:rPr>
        <w:t xml:space="preserve"> and </w:t>
      </w:r>
      <w:r w:rsidR="00AC366E">
        <w:rPr>
          <w:lang w:val="en-AU"/>
        </w:rPr>
        <w:t xml:space="preserve">of </w:t>
      </w:r>
      <w:r>
        <w:rPr>
          <w:lang w:val="en-AU"/>
        </w:rPr>
        <w:t>rules 5,</w:t>
      </w:r>
      <w:r>
        <w:rPr>
          <w:b/>
          <w:bCs/>
          <w:lang w:val="en-AU"/>
        </w:rPr>
        <w:t xml:space="preserve"> </w:t>
      </w:r>
      <w:r>
        <w:rPr>
          <w:lang w:val="en-AU"/>
        </w:rPr>
        <w:t>6 and 9 of the existing Rules</w:t>
      </w:r>
      <w:r w:rsidR="00AC366E">
        <w:rPr>
          <w:lang w:val="en-AU"/>
        </w:rPr>
        <w:t xml:space="preserve"> (shown as deleted)</w:t>
      </w:r>
      <w:r w:rsidR="00C0627F">
        <w:rPr>
          <w:lang w:val="en-AU"/>
        </w:rPr>
        <w:t>.</w:t>
      </w:r>
      <w:r w:rsidR="00BC1142">
        <w:rPr>
          <w:lang w:val="en-AU"/>
        </w:rPr>
        <w:t xml:space="preserve">  There are minor consequential changes to later provisions </w:t>
      </w:r>
      <w:proofErr w:type="spellStart"/>
      <w:r w:rsidR="00BC1142">
        <w:rPr>
          <w:lang w:val="en-AU"/>
        </w:rPr>
        <w:t>eg</w:t>
      </w:r>
      <w:proofErr w:type="spellEnd"/>
      <w:r w:rsidR="00BC1142">
        <w:rPr>
          <w:lang w:val="en-AU"/>
        </w:rPr>
        <w:t xml:space="preserve"> in rule </w:t>
      </w:r>
      <w:r w:rsidR="00AC366E">
        <w:rPr>
          <w:lang w:val="en-AU"/>
        </w:rPr>
        <w:t>19</w:t>
      </w:r>
      <w:r w:rsidR="00BC1142">
        <w:rPr>
          <w:lang w:val="en-AU"/>
        </w:rPr>
        <w:t xml:space="preserve"> on election of committee members.</w:t>
      </w:r>
    </w:p>
    <w:p w14:paraId="23193B75" w14:textId="1A0AC069" w:rsidR="002A7634" w:rsidRDefault="002A7634" w:rsidP="00F059EB">
      <w:pPr>
        <w:rPr>
          <w:lang w:val="en-AU"/>
        </w:rPr>
      </w:pPr>
    </w:p>
    <w:p w14:paraId="29844BDF" w14:textId="0304E74E" w:rsidR="002A7634" w:rsidRDefault="002A7634" w:rsidP="00F059EB">
      <w:pPr>
        <w:rPr>
          <w:lang w:val="en-AU"/>
        </w:rPr>
      </w:pPr>
      <w:r>
        <w:rPr>
          <w:lang w:val="en-AU"/>
        </w:rPr>
        <w:t xml:space="preserve">Some minor amendments </w:t>
      </w:r>
      <w:r w:rsidR="00C006AA">
        <w:rPr>
          <w:lang w:val="en-AU"/>
        </w:rPr>
        <w:t>are proposed</w:t>
      </w:r>
      <w:r>
        <w:rPr>
          <w:lang w:val="en-AU"/>
        </w:rPr>
        <w:t xml:space="preserve"> to the provisions concerning applications for membersh</w:t>
      </w:r>
      <w:r w:rsidR="00C0627F">
        <w:rPr>
          <w:lang w:val="en-AU"/>
        </w:rPr>
        <w:t xml:space="preserve">ip (rule </w:t>
      </w:r>
      <w:r w:rsidR="005E75AD">
        <w:rPr>
          <w:lang w:val="en-AU"/>
        </w:rPr>
        <w:t>7</w:t>
      </w:r>
      <w:r w:rsidR="00C0627F">
        <w:rPr>
          <w:lang w:val="en-AU"/>
        </w:rPr>
        <w:t>), including making a replacement provision for payment of a membership fee as determined from time to time by the Committee</w:t>
      </w:r>
      <w:r w:rsidR="00415177">
        <w:rPr>
          <w:lang w:val="en-AU"/>
        </w:rPr>
        <w:t xml:space="preserve">, which is now dealt with in rule </w:t>
      </w:r>
      <w:r w:rsidR="005E75AD">
        <w:rPr>
          <w:lang w:val="en-AU"/>
        </w:rPr>
        <w:t>13</w:t>
      </w:r>
      <w:r w:rsidR="00415177">
        <w:rPr>
          <w:lang w:val="en-AU"/>
        </w:rPr>
        <w:t xml:space="preserve"> provid</w:t>
      </w:r>
      <w:r w:rsidR="00C006AA">
        <w:rPr>
          <w:lang w:val="en-AU"/>
        </w:rPr>
        <w:t>ing</w:t>
      </w:r>
      <w:r w:rsidR="00415177">
        <w:rPr>
          <w:lang w:val="en-AU"/>
        </w:rPr>
        <w:t xml:space="preserve"> that the Committee may set the annual membership fee, if any, by resolution</w:t>
      </w:r>
      <w:r w:rsidR="00C0627F">
        <w:rPr>
          <w:lang w:val="en-AU"/>
        </w:rPr>
        <w:t>.  The Committee would have power to set the fee at zero.  Provision for an entrance fee has been deleted.</w:t>
      </w:r>
    </w:p>
    <w:p w14:paraId="2CE8DF0C" w14:textId="7CC1AD2B" w:rsidR="00C0627F" w:rsidRDefault="00C0627F" w:rsidP="00F059EB">
      <w:pPr>
        <w:rPr>
          <w:lang w:val="en-AU"/>
        </w:rPr>
      </w:pPr>
    </w:p>
    <w:p w14:paraId="78743F52" w14:textId="29A99F95" w:rsidR="00415177" w:rsidRDefault="00C0627F" w:rsidP="00F059EB">
      <w:pPr>
        <w:rPr>
          <w:lang w:val="en-AU"/>
        </w:rPr>
      </w:pPr>
      <w:r>
        <w:rPr>
          <w:lang w:val="en-AU"/>
        </w:rPr>
        <w:t xml:space="preserve">In rule </w:t>
      </w:r>
      <w:r w:rsidR="004E6055">
        <w:rPr>
          <w:lang w:val="en-AU"/>
        </w:rPr>
        <w:t>11</w:t>
      </w:r>
      <w:r>
        <w:rPr>
          <w:lang w:val="en-AU"/>
        </w:rPr>
        <w:t xml:space="preserve"> on cessation of membership, reference to </w:t>
      </w:r>
      <w:r w:rsidR="00415177">
        <w:rPr>
          <w:lang w:val="en-AU"/>
        </w:rPr>
        <w:t>corporate members has been removed, and a reference to failing to renew membership of ARF has been replaced by the words ‘fails to pay any required membership fee’.</w:t>
      </w:r>
      <w:r w:rsidR="00806E1F">
        <w:rPr>
          <w:lang w:val="en-AU"/>
        </w:rPr>
        <w:t xml:space="preserve"> </w:t>
      </w:r>
      <w:r w:rsidR="00415177">
        <w:rPr>
          <w:lang w:val="en-AU"/>
        </w:rPr>
        <w:t xml:space="preserve"> Where a member resigns</w:t>
      </w:r>
      <w:r w:rsidR="00D82781">
        <w:rPr>
          <w:lang w:val="en-AU"/>
        </w:rPr>
        <w:t xml:space="preserve"> (</w:t>
      </w:r>
      <w:r w:rsidR="00C006AA">
        <w:rPr>
          <w:lang w:val="en-AU"/>
        </w:rPr>
        <w:t>sub</w:t>
      </w:r>
      <w:r w:rsidR="00D82781">
        <w:rPr>
          <w:lang w:val="en-AU"/>
        </w:rPr>
        <w:t xml:space="preserve">rule </w:t>
      </w:r>
      <w:r w:rsidR="005E75AD">
        <w:rPr>
          <w:lang w:val="en-AU"/>
        </w:rPr>
        <w:t>12</w:t>
      </w:r>
      <w:r w:rsidR="00C006AA">
        <w:rPr>
          <w:lang w:val="en-AU"/>
        </w:rPr>
        <w:t>(3</w:t>
      </w:r>
      <w:r w:rsidR="00D82781">
        <w:rPr>
          <w:lang w:val="en-AU"/>
        </w:rPr>
        <w:t>)</w:t>
      </w:r>
      <w:r w:rsidR="00415177">
        <w:rPr>
          <w:lang w:val="en-AU"/>
        </w:rPr>
        <w:t xml:space="preserve">, the Committee must ensure that ‘an appropriate record </w:t>
      </w:r>
      <w:r w:rsidR="00806E1F">
        <w:rPr>
          <w:lang w:val="en-AU"/>
        </w:rPr>
        <w:t>is</w:t>
      </w:r>
      <w:r w:rsidR="00415177">
        <w:rPr>
          <w:lang w:val="en-AU"/>
        </w:rPr>
        <w:t xml:space="preserve"> maintained’, rather than the previous provision that an entry be made in the register of members.</w:t>
      </w:r>
      <w:r w:rsidR="00806E1F">
        <w:rPr>
          <w:lang w:val="en-AU"/>
        </w:rPr>
        <w:t xml:space="preserve">  The provision </w:t>
      </w:r>
      <w:r w:rsidR="00C006AA">
        <w:rPr>
          <w:lang w:val="en-AU"/>
        </w:rPr>
        <w:t>concerning the</w:t>
      </w:r>
      <w:r w:rsidR="00806E1F">
        <w:rPr>
          <w:lang w:val="en-AU"/>
        </w:rPr>
        <w:t xml:space="preserve"> date for payment of membership fees has been simplified to read ‘is payable as determined by the Committee’ (new subrule </w:t>
      </w:r>
      <w:r w:rsidR="005E75AD">
        <w:rPr>
          <w:lang w:val="en-AU"/>
        </w:rPr>
        <w:t>13</w:t>
      </w:r>
      <w:r w:rsidR="00806E1F">
        <w:rPr>
          <w:lang w:val="en-AU"/>
        </w:rPr>
        <w:t>(2)).</w:t>
      </w:r>
    </w:p>
    <w:p w14:paraId="18006FC7" w14:textId="63CCE8F4" w:rsidR="00C006AA" w:rsidRDefault="00C006AA" w:rsidP="00F059EB">
      <w:pPr>
        <w:rPr>
          <w:lang w:val="en-AU"/>
        </w:rPr>
      </w:pPr>
    </w:p>
    <w:p w14:paraId="4711B34E" w14:textId="5A669334" w:rsidR="00C006AA" w:rsidRDefault="00C006AA" w:rsidP="00F059EB">
      <w:pPr>
        <w:rPr>
          <w:lang w:val="en-AU"/>
        </w:rPr>
      </w:pPr>
      <w:r>
        <w:rPr>
          <w:lang w:val="en-AU"/>
        </w:rPr>
        <w:t>An amendment is proposed to para (d) of subrule 31(2) by addition of the words ‘or any other applicable legislative provisions’.  This is to allow for the fact that as a registered charity with the ACNC (Australian Charities and Not-for-profits Commission), ARF is not subject to section 73 of the Act mentioned in the subrule, but is subject to ACNC legislation and guidelines on similar matters.</w:t>
      </w:r>
    </w:p>
    <w:p w14:paraId="2C2A0523" w14:textId="6313E1FC" w:rsidR="005F101B" w:rsidRDefault="005F101B" w:rsidP="00F059EB">
      <w:pPr>
        <w:rPr>
          <w:lang w:val="en-AU"/>
        </w:rPr>
      </w:pPr>
    </w:p>
    <w:p w14:paraId="31CE48DB" w14:textId="36695334" w:rsidR="00DB4EE0" w:rsidRDefault="00DB4EE0" w:rsidP="00F059EB">
      <w:pPr>
        <w:rPr>
          <w:lang w:val="en-AU"/>
        </w:rPr>
      </w:pPr>
      <w:r>
        <w:rPr>
          <w:lang w:val="en-AU"/>
        </w:rPr>
        <w:t>A contradiction between existing subrule 26(9) and 28(3) on what should be done in the case of an equality of votes in</w:t>
      </w:r>
      <w:r w:rsidR="005E75AD">
        <w:rPr>
          <w:lang w:val="en-AU"/>
        </w:rPr>
        <w:t xml:space="preserve"> a</w:t>
      </w:r>
      <w:r>
        <w:rPr>
          <w:lang w:val="en-AU"/>
        </w:rPr>
        <w:t xml:space="preserve"> Subcommittee meeting has been resolved in favour of the person presiding having a casting vote, rather than the matter being referred to the Committee; the matter</w:t>
      </w:r>
      <w:r w:rsidR="005E75AD">
        <w:rPr>
          <w:lang w:val="en-AU"/>
        </w:rPr>
        <w:t xml:space="preserve"> of</w:t>
      </w:r>
      <w:r>
        <w:rPr>
          <w:lang w:val="en-AU"/>
        </w:rPr>
        <w:t xml:space="preserve"> equality of votes is now dealt with entirely in renumbered subrule </w:t>
      </w:r>
      <w:r w:rsidR="005E75AD">
        <w:rPr>
          <w:lang w:val="en-AU"/>
        </w:rPr>
        <w:t>28</w:t>
      </w:r>
      <w:r>
        <w:rPr>
          <w:lang w:val="en-AU"/>
        </w:rPr>
        <w:t>(3)).</w:t>
      </w:r>
    </w:p>
    <w:p w14:paraId="0B1AC7F3" w14:textId="1D756396" w:rsidR="005178C1" w:rsidRDefault="005178C1" w:rsidP="00F059EB">
      <w:pPr>
        <w:rPr>
          <w:lang w:val="en-AU"/>
        </w:rPr>
      </w:pPr>
    </w:p>
    <w:p w14:paraId="65405308" w14:textId="7FE8B7BD" w:rsidR="00F059EB" w:rsidRDefault="005178C1" w:rsidP="005E75AD">
      <w:pPr>
        <w:rPr>
          <w:lang w:val="en-AU"/>
        </w:rPr>
      </w:pPr>
      <w:r>
        <w:rPr>
          <w:lang w:val="en-AU"/>
        </w:rPr>
        <w:t xml:space="preserve">Provision is now made in renumbered rule </w:t>
      </w:r>
      <w:r w:rsidR="005E75AD">
        <w:rPr>
          <w:lang w:val="en-AU"/>
        </w:rPr>
        <w:t>48</w:t>
      </w:r>
      <w:r>
        <w:rPr>
          <w:lang w:val="en-AU"/>
        </w:rPr>
        <w:t xml:space="preserve"> for service</w:t>
      </w:r>
      <w:r w:rsidR="00C006AA">
        <w:rPr>
          <w:lang w:val="en-AU"/>
        </w:rPr>
        <w:t xml:space="preserve"> of notice</w:t>
      </w:r>
      <w:r>
        <w:rPr>
          <w:lang w:val="en-AU"/>
        </w:rPr>
        <w:t xml:space="preserve"> by email (which makes the provision consistent rule 33(1)</w:t>
      </w:r>
      <w:r w:rsidR="00C006AA">
        <w:rPr>
          <w:lang w:val="en-AU"/>
        </w:rPr>
        <w:t>)</w:t>
      </w:r>
      <w:r>
        <w:rPr>
          <w:lang w:val="en-AU"/>
        </w:rPr>
        <w:t>.</w:t>
      </w:r>
    </w:p>
    <w:p w14:paraId="1DDDC074" w14:textId="5F2CE01B" w:rsidR="00150497" w:rsidRDefault="00150497" w:rsidP="005E75AD">
      <w:pPr>
        <w:rPr>
          <w:lang w:val="en-AU"/>
        </w:rPr>
      </w:pPr>
    </w:p>
    <w:p w14:paraId="6F21D49E" w14:textId="71858290" w:rsidR="00150497" w:rsidRPr="00150497" w:rsidRDefault="00150497" w:rsidP="00150497">
      <w:pPr>
        <w:ind w:left="426"/>
        <w:rPr>
          <w:rFonts w:cstheme="minorHAnsi"/>
          <w:b/>
          <w:bCs/>
        </w:rPr>
      </w:pPr>
    </w:p>
    <w:p w14:paraId="7FE6B412" w14:textId="533EC7C3" w:rsidR="00150497" w:rsidRPr="00E4602D" w:rsidRDefault="00150497" w:rsidP="00150497">
      <w:pPr>
        <w:rPr>
          <w:rFonts w:cstheme="minorHAnsi"/>
        </w:rPr>
      </w:pPr>
      <w:r>
        <w:rPr>
          <w:rFonts w:cstheme="minorHAnsi"/>
        </w:rPr>
        <w:t xml:space="preserve">In relation to the election of Committee members, subrule 19 (2)(b) has been amended to change </w:t>
      </w:r>
      <w:r w:rsidRPr="00E4602D">
        <w:rPr>
          <w:rFonts w:cstheme="minorHAnsi"/>
        </w:rPr>
        <w:t>the time fram</w:t>
      </w:r>
      <w:r>
        <w:rPr>
          <w:rFonts w:cstheme="minorHAnsi"/>
        </w:rPr>
        <w:t>e</w:t>
      </w:r>
      <w:r w:rsidRPr="00E4602D">
        <w:rPr>
          <w:rFonts w:cstheme="minorHAnsi"/>
        </w:rPr>
        <w:t xml:space="preserve"> </w:t>
      </w:r>
      <w:r>
        <w:rPr>
          <w:rFonts w:cstheme="minorHAnsi"/>
        </w:rPr>
        <w:t xml:space="preserve">for receipt by the Secretary of </w:t>
      </w:r>
      <w:r w:rsidRPr="00E4602D">
        <w:rPr>
          <w:rFonts w:cstheme="minorHAnsi"/>
        </w:rPr>
        <w:t>nomin</w:t>
      </w:r>
      <w:r>
        <w:rPr>
          <w:rFonts w:cstheme="minorHAnsi"/>
        </w:rPr>
        <w:t>a</w:t>
      </w:r>
      <w:r w:rsidRPr="00E4602D">
        <w:rPr>
          <w:rFonts w:cstheme="minorHAnsi"/>
        </w:rPr>
        <w:t>tion</w:t>
      </w:r>
      <w:r>
        <w:rPr>
          <w:rFonts w:cstheme="minorHAnsi"/>
        </w:rPr>
        <w:t>s</w:t>
      </w:r>
      <w:r w:rsidRPr="00E4602D">
        <w:rPr>
          <w:rFonts w:cstheme="minorHAnsi"/>
        </w:rPr>
        <w:t xml:space="preserve"> for </w:t>
      </w:r>
      <w:r>
        <w:rPr>
          <w:rFonts w:cstheme="minorHAnsi"/>
        </w:rPr>
        <w:t>C</w:t>
      </w:r>
      <w:r w:rsidRPr="00E4602D">
        <w:rPr>
          <w:rFonts w:cstheme="minorHAnsi"/>
        </w:rPr>
        <w:t>ommittee members f</w:t>
      </w:r>
      <w:r>
        <w:rPr>
          <w:rFonts w:cstheme="minorHAnsi"/>
        </w:rPr>
        <w:t xml:space="preserve">rom </w:t>
      </w:r>
      <w:r w:rsidRPr="00E4602D">
        <w:rPr>
          <w:rFonts w:cstheme="minorHAnsi"/>
        </w:rPr>
        <w:t>four week</w:t>
      </w:r>
      <w:r>
        <w:rPr>
          <w:rFonts w:cstheme="minorHAnsi"/>
        </w:rPr>
        <w:t>s</w:t>
      </w:r>
      <w:r w:rsidRPr="00E4602D">
        <w:rPr>
          <w:rFonts w:cstheme="minorHAnsi"/>
        </w:rPr>
        <w:t xml:space="preserve"> before the AGM to the more </w:t>
      </w:r>
      <w:r>
        <w:rPr>
          <w:rFonts w:cstheme="minorHAnsi"/>
        </w:rPr>
        <w:t xml:space="preserve">usual and </w:t>
      </w:r>
      <w:r w:rsidRPr="00E4602D">
        <w:rPr>
          <w:rFonts w:cstheme="minorHAnsi"/>
        </w:rPr>
        <w:t>manag</w:t>
      </w:r>
      <w:r>
        <w:rPr>
          <w:rFonts w:cstheme="minorHAnsi"/>
        </w:rPr>
        <w:t xml:space="preserve">eable </w:t>
      </w:r>
      <w:r w:rsidRPr="00E4602D">
        <w:rPr>
          <w:rFonts w:cstheme="minorHAnsi"/>
        </w:rPr>
        <w:t>1 week</w:t>
      </w:r>
      <w:r>
        <w:rPr>
          <w:rFonts w:cstheme="minorHAnsi"/>
        </w:rPr>
        <w:t xml:space="preserve"> before the meeting</w:t>
      </w:r>
      <w:r w:rsidRPr="00E4602D">
        <w:rPr>
          <w:rFonts w:cstheme="minorHAnsi"/>
        </w:rPr>
        <w:t xml:space="preserve">. </w:t>
      </w:r>
    </w:p>
    <w:p w14:paraId="579E4DF7" w14:textId="77777777" w:rsidR="00150497" w:rsidRPr="005E75AD" w:rsidRDefault="00150497" w:rsidP="005E75AD">
      <w:pPr>
        <w:rPr>
          <w:lang w:val="en-AU"/>
        </w:rPr>
      </w:pPr>
    </w:p>
    <w:p w14:paraId="76A2009C" w14:textId="1C0E0CB5" w:rsidR="008E6CF1" w:rsidRPr="00464F18" w:rsidRDefault="00592D4D" w:rsidP="00150497">
      <w:pPr>
        <w:pStyle w:val="ListParagraph"/>
        <w:keepNext/>
        <w:numPr>
          <w:ilvl w:val="0"/>
          <w:numId w:val="3"/>
        </w:numPr>
        <w:rPr>
          <w:lang w:val="en-AU"/>
        </w:rPr>
      </w:pPr>
      <w:r>
        <w:rPr>
          <w:b/>
          <w:bCs/>
          <w:lang w:val="en-AU"/>
        </w:rPr>
        <w:t>Changes to</w:t>
      </w:r>
      <w:r w:rsidR="005103AF">
        <w:rPr>
          <w:b/>
          <w:bCs/>
          <w:lang w:val="en-AU"/>
        </w:rPr>
        <w:t xml:space="preserve"> </w:t>
      </w:r>
      <w:r>
        <w:rPr>
          <w:b/>
          <w:bCs/>
          <w:lang w:val="en-AU"/>
        </w:rPr>
        <w:t>rule</w:t>
      </w:r>
      <w:r w:rsidR="0094258D">
        <w:rPr>
          <w:b/>
          <w:bCs/>
          <w:lang w:val="en-AU"/>
        </w:rPr>
        <w:t>s</w:t>
      </w:r>
      <w:r>
        <w:rPr>
          <w:b/>
          <w:bCs/>
          <w:lang w:val="en-AU"/>
        </w:rPr>
        <w:t xml:space="preserve"> </w:t>
      </w:r>
      <w:r w:rsidR="005E75AD">
        <w:rPr>
          <w:b/>
          <w:bCs/>
          <w:lang w:val="en-AU"/>
        </w:rPr>
        <w:t>15</w:t>
      </w:r>
      <w:r w:rsidR="00464F18">
        <w:rPr>
          <w:b/>
          <w:bCs/>
          <w:lang w:val="en-AU"/>
        </w:rPr>
        <w:t>,</w:t>
      </w:r>
      <w:r>
        <w:rPr>
          <w:b/>
          <w:bCs/>
          <w:lang w:val="en-AU"/>
        </w:rPr>
        <w:t xml:space="preserve"> ‘Disciplining</w:t>
      </w:r>
      <w:r w:rsidR="00EB0CCC">
        <w:rPr>
          <w:b/>
          <w:bCs/>
          <w:lang w:val="en-AU"/>
        </w:rPr>
        <w:t xml:space="preserve"> of</w:t>
      </w:r>
      <w:r>
        <w:rPr>
          <w:b/>
          <w:bCs/>
          <w:lang w:val="en-AU"/>
        </w:rPr>
        <w:t xml:space="preserve"> </w:t>
      </w:r>
      <w:r w:rsidR="00EB0CCC">
        <w:rPr>
          <w:b/>
          <w:bCs/>
          <w:lang w:val="en-AU"/>
        </w:rPr>
        <w:t>M</w:t>
      </w:r>
      <w:r>
        <w:rPr>
          <w:b/>
          <w:bCs/>
          <w:lang w:val="en-AU"/>
        </w:rPr>
        <w:t>ember’</w:t>
      </w:r>
      <w:r w:rsidR="0094258D">
        <w:rPr>
          <w:b/>
          <w:bCs/>
          <w:lang w:val="en-AU"/>
        </w:rPr>
        <w:t xml:space="preserve"> and </w:t>
      </w:r>
      <w:r w:rsidR="005E75AD">
        <w:rPr>
          <w:b/>
          <w:bCs/>
          <w:lang w:val="en-AU"/>
        </w:rPr>
        <w:t>16</w:t>
      </w:r>
      <w:r w:rsidR="0094258D">
        <w:rPr>
          <w:b/>
          <w:bCs/>
          <w:lang w:val="en-AU"/>
        </w:rPr>
        <w:t xml:space="preserve">, ‘Right of appeal of disciplined </w:t>
      </w:r>
      <w:r w:rsidR="00EB0CCC">
        <w:rPr>
          <w:b/>
          <w:bCs/>
          <w:lang w:val="en-AU"/>
        </w:rPr>
        <w:t>M</w:t>
      </w:r>
      <w:r w:rsidR="0094258D">
        <w:rPr>
          <w:b/>
          <w:bCs/>
          <w:lang w:val="en-AU"/>
        </w:rPr>
        <w:t>ember’</w:t>
      </w:r>
    </w:p>
    <w:p w14:paraId="06B96499" w14:textId="0AEBEB5A" w:rsidR="00464F18" w:rsidRDefault="00464F18" w:rsidP="0094258D">
      <w:pPr>
        <w:rPr>
          <w:lang w:val="en-AU"/>
        </w:rPr>
      </w:pPr>
      <w:r w:rsidRPr="00464F18">
        <w:rPr>
          <w:lang w:val="en-AU"/>
        </w:rPr>
        <w:t xml:space="preserve">Specific principles to be included in any </w:t>
      </w:r>
      <w:r w:rsidRPr="00464F18">
        <w:rPr>
          <w:b/>
          <w:bCs/>
          <w:lang w:val="en-AU"/>
        </w:rPr>
        <w:t>disciplinary procedure</w:t>
      </w:r>
      <w:r w:rsidRPr="00464F18">
        <w:rPr>
          <w:lang w:val="en-AU"/>
        </w:rPr>
        <w:t xml:space="preserve"> are set out in new section 65C of the Act, providing for natural justice/procedural fairness (information about grounds for disciplinary action, opportunity to be heard, an unbiased decision-maker), as well as notification in writing of the decision and the reasons for it, and an appeal process.  There has been no change</w:t>
      </w:r>
      <w:r w:rsidR="003267F1">
        <w:rPr>
          <w:lang w:val="en-AU"/>
        </w:rPr>
        <w:t xml:space="preserve"> by government</w:t>
      </w:r>
      <w:r w:rsidRPr="00464F18">
        <w:rPr>
          <w:lang w:val="en-AU"/>
        </w:rPr>
        <w:t xml:space="preserve"> to the Model Rules which already included a disciplinary procedure, and </w:t>
      </w:r>
      <w:r w:rsidR="00EB0CCC">
        <w:rPr>
          <w:lang w:val="en-AU"/>
        </w:rPr>
        <w:t>ARF’s</w:t>
      </w:r>
      <w:r w:rsidRPr="00464F18">
        <w:rPr>
          <w:lang w:val="en-AU"/>
        </w:rPr>
        <w:t xml:space="preserve"> existing Rules contain that procedure.  </w:t>
      </w:r>
      <w:r w:rsidR="0086202B">
        <w:rPr>
          <w:lang w:val="en-AU"/>
        </w:rPr>
        <w:t>There may be some question whether those</w:t>
      </w:r>
      <w:r w:rsidR="00C714CA">
        <w:rPr>
          <w:lang w:val="en-AU"/>
        </w:rPr>
        <w:t xml:space="preserve"> Model</w:t>
      </w:r>
      <w:r w:rsidR="0086202B">
        <w:rPr>
          <w:lang w:val="en-AU"/>
        </w:rPr>
        <w:t xml:space="preserve"> </w:t>
      </w:r>
      <w:r w:rsidR="00C714CA">
        <w:rPr>
          <w:lang w:val="en-AU"/>
        </w:rPr>
        <w:t>R</w:t>
      </w:r>
      <w:r w:rsidR="0086202B">
        <w:rPr>
          <w:lang w:val="en-AU"/>
        </w:rPr>
        <w:t>ules</w:t>
      </w:r>
      <w:r w:rsidR="003267F1">
        <w:rPr>
          <w:lang w:val="en-AU"/>
        </w:rPr>
        <w:t xml:space="preserve"> now</w:t>
      </w:r>
      <w:r w:rsidR="0086202B">
        <w:rPr>
          <w:lang w:val="en-AU"/>
        </w:rPr>
        <w:t xml:space="preserve"> meet all the recently-enacted requirements</w:t>
      </w:r>
      <w:r w:rsidR="00956B67">
        <w:rPr>
          <w:lang w:val="en-AU"/>
        </w:rPr>
        <w:t>.</w:t>
      </w:r>
    </w:p>
    <w:p w14:paraId="5BBDF5E0" w14:textId="77777777" w:rsidR="0094258D" w:rsidRDefault="0094258D" w:rsidP="0094258D">
      <w:pPr>
        <w:rPr>
          <w:i/>
          <w:iCs/>
          <w:lang w:val="en-AU"/>
        </w:rPr>
      </w:pPr>
    </w:p>
    <w:p w14:paraId="08BE770F" w14:textId="5831E40D" w:rsidR="00C714CA" w:rsidRDefault="00464F18" w:rsidP="0094258D">
      <w:pPr>
        <w:rPr>
          <w:lang w:val="en-AU"/>
        </w:rPr>
      </w:pPr>
      <w:r>
        <w:rPr>
          <w:i/>
          <w:iCs/>
          <w:lang w:val="en-AU"/>
        </w:rPr>
        <w:t xml:space="preserve">Changes to </w:t>
      </w:r>
      <w:r w:rsidR="00EB0CCC">
        <w:rPr>
          <w:i/>
          <w:iCs/>
          <w:lang w:val="en-AU"/>
        </w:rPr>
        <w:t>ARF</w:t>
      </w:r>
      <w:r>
        <w:rPr>
          <w:i/>
          <w:iCs/>
          <w:lang w:val="en-AU"/>
        </w:rPr>
        <w:t xml:space="preserve"> Rules: </w:t>
      </w:r>
      <w:r>
        <w:rPr>
          <w:lang w:val="en-AU"/>
        </w:rPr>
        <w:t xml:space="preserve">After taking into account the changes to their Rules made by some other associations, the </w:t>
      </w:r>
      <w:r w:rsidR="00956B67">
        <w:rPr>
          <w:lang w:val="en-AU"/>
        </w:rPr>
        <w:t>ARF</w:t>
      </w:r>
      <w:r>
        <w:rPr>
          <w:lang w:val="en-AU"/>
        </w:rPr>
        <w:t xml:space="preserve"> Committee </w:t>
      </w:r>
      <w:r w:rsidR="00C714CA">
        <w:rPr>
          <w:lang w:val="en-AU"/>
        </w:rPr>
        <w:t>considered</w:t>
      </w:r>
      <w:r>
        <w:rPr>
          <w:lang w:val="en-AU"/>
        </w:rPr>
        <w:t xml:space="preserve"> </w:t>
      </w:r>
      <w:r w:rsidR="0094258D">
        <w:rPr>
          <w:lang w:val="en-AU"/>
        </w:rPr>
        <w:t xml:space="preserve">it would be appropriate to adopt new rules on </w:t>
      </w:r>
      <w:r w:rsidR="005637B8">
        <w:rPr>
          <w:lang w:val="en-AU"/>
        </w:rPr>
        <w:t xml:space="preserve">disciplinary action and appeals against </w:t>
      </w:r>
      <w:r w:rsidR="00956B67">
        <w:rPr>
          <w:lang w:val="en-AU"/>
        </w:rPr>
        <w:t>such action</w:t>
      </w:r>
      <w:r w:rsidR="005637B8">
        <w:rPr>
          <w:lang w:val="en-AU"/>
        </w:rPr>
        <w:t xml:space="preserve"> </w:t>
      </w:r>
      <w:r w:rsidR="00343EF5">
        <w:rPr>
          <w:lang w:val="en-AU"/>
        </w:rPr>
        <w:t xml:space="preserve">by </w:t>
      </w:r>
      <w:r w:rsidR="005637B8">
        <w:rPr>
          <w:lang w:val="en-AU"/>
        </w:rPr>
        <w:t>incorporat</w:t>
      </w:r>
      <w:r w:rsidR="00343EF5">
        <w:rPr>
          <w:lang w:val="en-AU"/>
        </w:rPr>
        <w:t>ing</w:t>
      </w:r>
      <w:r w:rsidR="00C714CA">
        <w:rPr>
          <w:lang w:val="en-AU"/>
        </w:rPr>
        <w:t xml:space="preserve"> </w:t>
      </w:r>
      <w:r w:rsidR="005637B8">
        <w:rPr>
          <w:lang w:val="en-AU"/>
        </w:rPr>
        <w:t xml:space="preserve">the principles contained in section 65C of the </w:t>
      </w:r>
      <w:r w:rsidR="00C714CA">
        <w:rPr>
          <w:lang w:val="en-AU"/>
        </w:rPr>
        <w:t>Act</w:t>
      </w:r>
      <w:r w:rsidR="00343EF5">
        <w:rPr>
          <w:lang w:val="en-AU"/>
        </w:rPr>
        <w:t xml:space="preserve"> into a revised specific procedure</w:t>
      </w:r>
      <w:r w:rsidR="00C714CA">
        <w:rPr>
          <w:lang w:val="en-AU"/>
        </w:rPr>
        <w:t xml:space="preserve"> </w:t>
      </w:r>
      <w:r w:rsidR="0086202B">
        <w:rPr>
          <w:lang w:val="en-AU"/>
        </w:rPr>
        <w:t xml:space="preserve">(see proposed new rules </w:t>
      </w:r>
      <w:r w:rsidR="005E75AD">
        <w:rPr>
          <w:lang w:val="en-AU"/>
        </w:rPr>
        <w:t>15</w:t>
      </w:r>
      <w:r w:rsidR="0086202B">
        <w:rPr>
          <w:lang w:val="en-AU"/>
        </w:rPr>
        <w:t xml:space="preserve"> and </w:t>
      </w:r>
      <w:r w:rsidR="005E75AD">
        <w:rPr>
          <w:lang w:val="en-AU"/>
        </w:rPr>
        <w:t>16</w:t>
      </w:r>
      <w:r w:rsidR="0086202B">
        <w:rPr>
          <w:lang w:val="en-AU"/>
        </w:rPr>
        <w:t>).</w:t>
      </w:r>
    </w:p>
    <w:p w14:paraId="6D15E193" w14:textId="77777777" w:rsidR="00C714CA" w:rsidRDefault="00C714CA" w:rsidP="0094258D">
      <w:pPr>
        <w:rPr>
          <w:lang w:val="en-AU"/>
        </w:rPr>
      </w:pPr>
    </w:p>
    <w:p w14:paraId="1C300E43" w14:textId="77777777" w:rsidR="00E62385" w:rsidRDefault="005637B8" w:rsidP="0094258D">
      <w:pPr>
        <w:rPr>
          <w:lang w:val="en-AU"/>
        </w:rPr>
      </w:pPr>
      <w:r>
        <w:rPr>
          <w:lang w:val="en-AU"/>
        </w:rPr>
        <w:t xml:space="preserve">The process has been simplified and made fairer by removing the </w:t>
      </w:r>
      <w:r w:rsidR="00C714CA">
        <w:rPr>
          <w:lang w:val="en-AU"/>
        </w:rPr>
        <w:t>requirement</w:t>
      </w:r>
      <w:r>
        <w:rPr>
          <w:lang w:val="en-AU"/>
        </w:rPr>
        <w:t xml:space="preserve"> for the committee to reach a provisional decision on a complaint before seeking the Member’s response to the complaint.</w:t>
      </w:r>
      <w:r w:rsidR="0086202B">
        <w:rPr>
          <w:lang w:val="en-AU"/>
        </w:rPr>
        <w:t xml:space="preserve">  Instead,</w:t>
      </w:r>
      <w:r w:rsidR="00E62385">
        <w:rPr>
          <w:lang w:val="en-AU"/>
        </w:rPr>
        <w:t xml:space="preserve"> where a complaint is made by an identified member of the association, </w:t>
      </w:r>
      <w:r w:rsidR="0086202B">
        <w:rPr>
          <w:lang w:val="en-AU"/>
        </w:rPr>
        <w:t xml:space="preserve">unless the Committee considers there is no case to </w:t>
      </w:r>
      <w:r w:rsidR="00E62385">
        <w:rPr>
          <w:lang w:val="en-AU"/>
        </w:rPr>
        <w:t>answer,</w:t>
      </w:r>
      <w:r w:rsidR="0086202B">
        <w:rPr>
          <w:lang w:val="en-AU"/>
        </w:rPr>
        <w:t xml:space="preserve"> or </w:t>
      </w:r>
      <w:r w:rsidR="000463F3">
        <w:rPr>
          <w:lang w:val="en-AU"/>
        </w:rPr>
        <w:t>an allegation is trivial</w:t>
      </w:r>
      <w:r w:rsidR="00E62385">
        <w:rPr>
          <w:lang w:val="en-AU"/>
        </w:rPr>
        <w:t xml:space="preserve"> or frivolous</w:t>
      </w:r>
      <w:r w:rsidR="000463F3">
        <w:rPr>
          <w:lang w:val="en-AU"/>
        </w:rPr>
        <w:t>, the Committee will give notice</w:t>
      </w:r>
      <w:r w:rsidR="00C714CA">
        <w:rPr>
          <w:lang w:val="en-AU"/>
        </w:rPr>
        <w:t xml:space="preserve"> to the Member</w:t>
      </w:r>
      <w:r w:rsidR="000463F3">
        <w:rPr>
          <w:lang w:val="en-AU"/>
        </w:rPr>
        <w:t xml:space="preserve"> that it is considering whether or not to take disciplinary action, and the grounds </w:t>
      </w:r>
      <w:r w:rsidR="00C714CA">
        <w:rPr>
          <w:lang w:val="en-AU"/>
        </w:rPr>
        <w:t>on which it</w:t>
      </w:r>
      <w:r w:rsidR="000463F3">
        <w:rPr>
          <w:lang w:val="en-AU"/>
        </w:rPr>
        <w:t xml:space="preserve"> </w:t>
      </w:r>
      <w:r w:rsidR="00C714CA">
        <w:rPr>
          <w:lang w:val="en-AU"/>
        </w:rPr>
        <w:t>might do</w:t>
      </w:r>
      <w:r w:rsidR="000463F3">
        <w:rPr>
          <w:lang w:val="en-AU"/>
        </w:rPr>
        <w:t xml:space="preserve"> so.</w:t>
      </w:r>
    </w:p>
    <w:p w14:paraId="6211D923" w14:textId="77777777" w:rsidR="00E62385" w:rsidRDefault="00E62385" w:rsidP="0094258D">
      <w:pPr>
        <w:rPr>
          <w:lang w:val="en-AU"/>
        </w:rPr>
      </w:pPr>
    </w:p>
    <w:p w14:paraId="2A360E78" w14:textId="24E89372" w:rsidR="00E62385" w:rsidRDefault="005637B8" w:rsidP="0094258D">
      <w:pPr>
        <w:rPr>
          <w:lang w:val="en-AU"/>
        </w:rPr>
      </w:pPr>
      <w:r>
        <w:rPr>
          <w:lang w:val="en-AU"/>
        </w:rPr>
        <w:t xml:space="preserve">The grounds for disciplinary action have been </w:t>
      </w:r>
      <w:r w:rsidR="00CA5F5F">
        <w:rPr>
          <w:lang w:val="en-AU"/>
        </w:rPr>
        <w:t>simplified in language</w:t>
      </w:r>
      <w:r w:rsidR="004A213A">
        <w:rPr>
          <w:lang w:val="en-AU"/>
        </w:rPr>
        <w:t>,</w:t>
      </w:r>
      <w:r w:rsidR="00CA5F5F">
        <w:rPr>
          <w:lang w:val="en-AU"/>
        </w:rPr>
        <w:t xml:space="preserve"> and </w:t>
      </w:r>
      <w:r w:rsidR="002B1A8F">
        <w:rPr>
          <w:lang w:val="en-AU"/>
        </w:rPr>
        <w:t>modified by addition of a ground of refusal to support the objects of the Association.</w:t>
      </w:r>
      <w:r w:rsidR="00E62385">
        <w:rPr>
          <w:lang w:val="en-AU"/>
        </w:rPr>
        <w:t xml:space="preserve">  The disciplinary actions for breach of those grounds have been widened to include both counselling and reprimand.  The procedures throughout are designed to comply with all the statutory requirements in sections 50 </w:t>
      </w:r>
      <w:r w:rsidR="00343EF5">
        <w:rPr>
          <w:lang w:val="en-AU"/>
        </w:rPr>
        <w:t xml:space="preserve">(natural justice generally) </w:t>
      </w:r>
      <w:r w:rsidR="00E62385">
        <w:rPr>
          <w:lang w:val="en-AU"/>
        </w:rPr>
        <w:t>and 65C of the Act.</w:t>
      </w:r>
    </w:p>
    <w:p w14:paraId="06E11C92" w14:textId="77777777" w:rsidR="00E62385" w:rsidRDefault="00E62385" w:rsidP="0094258D">
      <w:pPr>
        <w:rPr>
          <w:lang w:val="en-AU"/>
        </w:rPr>
      </w:pPr>
    </w:p>
    <w:p w14:paraId="1ED2CA7A" w14:textId="688271FF" w:rsidR="00E62385" w:rsidRDefault="002B1A8F" w:rsidP="0094258D">
      <w:pPr>
        <w:rPr>
          <w:lang w:val="en-AU"/>
        </w:rPr>
      </w:pPr>
      <w:r>
        <w:rPr>
          <w:lang w:val="en-AU"/>
        </w:rPr>
        <w:t>Proposed new subrule</w:t>
      </w:r>
      <w:r w:rsidR="00E62385">
        <w:rPr>
          <w:lang w:val="en-AU"/>
        </w:rPr>
        <w:t>s</w:t>
      </w:r>
      <w:r>
        <w:rPr>
          <w:lang w:val="en-AU"/>
        </w:rPr>
        <w:t xml:space="preserve"> </w:t>
      </w:r>
      <w:r w:rsidR="00DA6161">
        <w:rPr>
          <w:lang w:val="en-AU"/>
        </w:rPr>
        <w:t>15</w:t>
      </w:r>
      <w:r w:rsidR="00AA4D4F">
        <w:rPr>
          <w:lang w:val="en-AU"/>
        </w:rPr>
        <w:t>(5)</w:t>
      </w:r>
      <w:r w:rsidR="00E62385">
        <w:rPr>
          <w:lang w:val="en-AU"/>
        </w:rPr>
        <w:t xml:space="preserve"> and (6)</w:t>
      </w:r>
      <w:r>
        <w:rPr>
          <w:lang w:val="en-AU"/>
        </w:rPr>
        <w:t xml:space="preserve"> provide that a Member of</w:t>
      </w:r>
      <w:r w:rsidR="00EC4212">
        <w:rPr>
          <w:lang w:val="en-AU"/>
        </w:rPr>
        <w:t xml:space="preserve"> the</w:t>
      </w:r>
      <w:r>
        <w:rPr>
          <w:lang w:val="en-AU"/>
        </w:rPr>
        <w:t xml:space="preserve"> Committee </w:t>
      </w:r>
      <w:r w:rsidR="00C714CA">
        <w:rPr>
          <w:lang w:val="en-AU"/>
        </w:rPr>
        <w:t>who is not unbiased on the matter</w:t>
      </w:r>
      <w:r>
        <w:rPr>
          <w:lang w:val="en-AU"/>
        </w:rPr>
        <w:t xml:space="preserve"> must not take part in the Committee’s consideration or decision on a complaint</w:t>
      </w:r>
      <w:r w:rsidR="00E62385">
        <w:rPr>
          <w:lang w:val="en-AU"/>
        </w:rPr>
        <w:t xml:space="preserve">, and that the member </w:t>
      </w:r>
      <w:r w:rsidR="00C27A01">
        <w:rPr>
          <w:lang w:val="en-AU"/>
        </w:rPr>
        <w:t>facing possible disciplinary action</w:t>
      </w:r>
      <w:r w:rsidR="00E62385">
        <w:rPr>
          <w:lang w:val="en-AU"/>
        </w:rPr>
        <w:t xml:space="preserve"> may</w:t>
      </w:r>
      <w:r w:rsidR="00C27A01">
        <w:rPr>
          <w:lang w:val="en-AU"/>
        </w:rPr>
        <w:t xml:space="preserve"> seek disqualification of a member of the Committee</w:t>
      </w:r>
      <w:r w:rsidR="00343EF5">
        <w:rPr>
          <w:lang w:val="en-AU"/>
        </w:rPr>
        <w:t xml:space="preserve"> from participating in the process</w:t>
      </w:r>
      <w:r w:rsidR="00C27A01">
        <w:rPr>
          <w:lang w:val="en-AU"/>
        </w:rPr>
        <w:t xml:space="preserve"> on that ground</w:t>
      </w:r>
      <w:r>
        <w:rPr>
          <w:lang w:val="en-AU"/>
        </w:rPr>
        <w:t>.</w:t>
      </w:r>
      <w:r w:rsidR="00C51CB3">
        <w:rPr>
          <w:lang w:val="en-AU"/>
        </w:rPr>
        <w:t xml:space="preserve">  </w:t>
      </w:r>
      <w:r w:rsidR="00C27A01">
        <w:rPr>
          <w:lang w:val="en-AU"/>
        </w:rPr>
        <w:t>The President of ARF must rule on that contention, and may exclude the person from participation in the Committee’s deliberations if justified.</w:t>
      </w:r>
    </w:p>
    <w:p w14:paraId="170C2FE3" w14:textId="77777777" w:rsidR="00E62385" w:rsidRDefault="00E62385" w:rsidP="0094258D">
      <w:pPr>
        <w:rPr>
          <w:lang w:val="en-AU"/>
        </w:rPr>
      </w:pPr>
    </w:p>
    <w:p w14:paraId="5B50553B" w14:textId="7A089508" w:rsidR="00464F18" w:rsidRDefault="00C51CB3" w:rsidP="0094258D">
      <w:pPr>
        <w:rPr>
          <w:lang w:val="en-AU"/>
        </w:rPr>
      </w:pPr>
      <w:r>
        <w:rPr>
          <w:lang w:val="en-AU"/>
        </w:rPr>
        <w:t>A decision by the Committee to take disciplinary action may be appealed against</w:t>
      </w:r>
      <w:r w:rsidR="00C27A01">
        <w:rPr>
          <w:lang w:val="en-AU"/>
        </w:rPr>
        <w:t>.  In place of the current</w:t>
      </w:r>
      <w:r w:rsidR="00A46336">
        <w:rPr>
          <w:lang w:val="en-AU"/>
        </w:rPr>
        <w:t xml:space="preserve"> provision for an</w:t>
      </w:r>
      <w:r w:rsidR="00C27A01">
        <w:rPr>
          <w:lang w:val="en-AU"/>
        </w:rPr>
        <w:t xml:space="preserve"> appeal to a General Meeting</w:t>
      </w:r>
      <w:r w:rsidR="00DA6161">
        <w:rPr>
          <w:lang w:val="en-AU"/>
        </w:rPr>
        <w:t xml:space="preserve">, redrafted </w:t>
      </w:r>
      <w:r w:rsidR="00C27A01">
        <w:rPr>
          <w:lang w:val="en-AU"/>
        </w:rPr>
        <w:t xml:space="preserve">rule </w:t>
      </w:r>
      <w:r w:rsidR="00DA6161">
        <w:rPr>
          <w:lang w:val="en-AU"/>
        </w:rPr>
        <w:t>16</w:t>
      </w:r>
      <w:r w:rsidR="00C27A01">
        <w:rPr>
          <w:lang w:val="en-AU"/>
        </w:rPr>
        <w:t xml:space="preserve"> now provides a detailed procedure for an appeal to be conducted by a panel of 3 </w:t>
      </w:r>
      <w:r w:rsidR="00343EF5">
        <w:rPr>
          <w:lang w:val="en-AU"/>
        </w:rPr>
        <w:t xml:space="preserve">unbiased </w:t>
      </w:r>
      <w:r w:rsidR="00C27A01">
        <w:rPr>
          <w:lang w:val="en-AU"/>
        </w:rPr>
        <w:t xml:space="preserve">ARF members of at least 12 months standing who are not members of </w:t>
      </w:r>
      <w:r w:rsidR="000346E6">
        <w:rPr>
          <w:lang w:val="en-AU"/>
        </w:rPr>
        <w:t>the Committee.</w:t>
      </w:r>
      <w:r w:rsidR="00343EF5">
        <w:rPr>
          <w:lang w:val="en-AU"/>
        </w:rPr>
        <w:t xml:space="preserve">  Challenge for bias is again provided for.</w:t>
      </w:r>
      <w:r w:rsidR="00801B9C">
        <w:rPr>
          <w:lang w:val="en-AU"/>
        </w:rPr>
        <w:t xml:space="preserve">  Once again the processes are designed to meet all statutory </w:t>
      </w:r>
      <w:r w:rsidR="00801B9C">
        <w:rPr>
          <w:lang w:val="en-AU"/>
        </w:rPr>
        <w:lastRenderedPageBreak/>
        <w:t>requirements.</w:t>
      </w:r>
      <w:r w:rsidR="00E179E6">
        <w:rPr>
          <w:lang w:val="en-AU"/>
        </w:rPr>
        <w:t xml:space="preserve">  As before, but with some</w:t>
      </w:r>
      <w:r w:rsidR="00D73892">
        <w:rPr>
          <w:lang w:val="en-AU"/>
        </w:rPr>
        <w:t xml:space="preserve"> minor</w:t>
      </w:r>
      <w:r w:rsidR="00E179E6">
        <w:rPr>
          <w:lang w:val="en-AU"/>
        </w:rPr>
        <w:t xml:space="preserve"> change of language, a disciplinary action does not take effect until the time for an appeal has expired, or an appeal has been made by but is unsuccessful</w:t>
      </w:r>
      <w:r w:rsidR="00D73892">
        <w:rPr>
          <w:lang w:val="en-AU"/>
        </w:rPr>
        <w:t xml:space="preserve"> (</w:t>
      </w:r>
      <w:r w:rsidR="00DA6161">
        <w:rPr>
          <w:lang w:val="en-AU"/>
        </w:rPr>
        <w:t>sub</w:t>
      </w:r>
      <w:r w:rsidR="00D73892">
        <w:rPr>
          <w:lang w:val="en-AU"/>
        </w:rPr>
        <w:t xml:space="preserve">rule </w:t>
      </w:r>
      <w:r w:rsidR="00DA6161">
        <w:rPr>
          <w:lang w:val="en-AU"/>
        </w:rPr>
        <w:t>15</w:t>
      </w:r>
      <w:r w:rsidR="00D73892">
        <w:rPr>
          <w:lang w:val="en-AU"/>
        </w:rPr>
        <w:t>(</w:t>
      </w:r>
      <w:r w:rsidR="00801B9C">
        <w:rPr>
          <w:lang w:val="en-AU"/>
        </w:rPr>
        <w:t>9</w:t>
      </w:r>
      <w:r w:rsidR="00D73892">
        <w:rPr>
          <w:lang w:val="en-AU"/>
        </w:rPr>
        <w:t>))</w:t>
      </w:r>
      <w:r w:rsidR="00E179E6">
        <w:rPr>
          <w:lang w:val="en-AU"/>
        </w:rPr>
        <w:t>.</w:t>
      </w:r>
      <w:r w:rsidR="00A46336">
        <w:rPr>
          <w:lang w:val="en-AU"/>
        </w:rPr>
        <w:t xml:space="preserve">  While the appellant and the Committee are bound by a decision of the appeal panel, that does not prevent any party taking legal action seeking a different outcome (subrules </w:t>
      </w:r>
      <w:r w:rsidR="00DA6161">
        <w:rPr>
          <w:lang w:val="en-AU"/>
        </w:rPr>
        <w:t>16</w:t>
      </w:r>
      <w:r w:rsidR="00A46336">
        <w:rPr>
          <w:lang w:val="en-AU"/>
        </w:rPr>
        <w:t>(11) &amp; (12)</w:t>
      </w:r>
      <w:r w:rsidR="00343EF5">
        <w:rPr>
          <w:lang w:val="en-AU"/>
        </w:rPr>
        <w:t>)</w:t>
      </w:r>
      <w:r w:rsidR="00A46336">
        <w:rPr>
          <w:lang w:val="en-AU"/>
        </w:rPr>
        <w:t>.</w:t>
      </w:r>
    </w:p>
    <w:p w14:paraId="4F81496D" w14:textId="2DEACD9D" w:rsidR="00E248B8" w:rsidRDefault="00E248B8" w:rsidP="0094258D">
      <w:pPr>
        <w:rPr>
          <w:lang w:val="en-AU"/>
        </w:rPr>
      </w:pPr>
    </w:p>
    <w:p w14:paraId="7FEA6BA9" w14:textId="7E52CF76" w:rsidR="009213B1" w:rsidRPr="00B807E8" w:rsidRDefault="00E248B8" w:rsidP="00150497">
      <w:pPr>
        <w:pStyle w:val="ListParagraph"/>
        <w:numPr>
          <w:ilvl w:val="0"/>
          <w:numId w:val="3"/>
        </w:numPr>
        <w:rPr>
          <w:b/>
          <w:bCs/>
          <w:lang w:val="en-AU"/>
        </w:rPr>
      </w:pPr>
      <w:r w:rsidRPr="00E248B8">
        <w:rPr>
          <w:b/>
          <w:bCs/>
          <w:lang w:val="en-AU"/>
        </w:rPr>
        <w:t xml:space="preserve">Insertion of new rule </w:t>
      </w:r>
      <w:r w:rsidR="00DA6161">
        <w:rPr>
          <w:b/>
          <w:bCs/>
          <w:lang w:val="en-AU"/>
        </w:rPr>
        <w:t>16A</w:t>
      </w:r>
      <w:r w:rsidRPr="00E248B8">
        <w:rPr>
          <w:b/>
          <w:bCs/>
          <w:lang w:val="en-AU"/>
        </w:rPr>
        <w:t xml:space="preserve"> to provide for a dispute resolution procedure</w:t>
      </w:r>
    </w:p>
    <w:p w14:paraId="710D4CD4" w14:textId="2224BA23" w:rsidR="00B807E8" w:rsidRDefault="00087668" w:rsidP="00B807E8">
      <w:pPr>
        <w:rPr>
          <w:lang w:val="en-AU"/>
        </w:rPr>
      </w:pPr>
      <w:r>
        <w:rPr>
          <w:lang w:val="en-AU"/>
        </w:rPr>
        <w:t>S</w:t>
      </w:r>
      <w:r w:rsidRPr="00133341">
        <w:rPr>
          <w:lang w:val="en-AU"/>
        </w:rPr>
        <w:t xml:space="preserve">ection 65B </w:t>
      </w:r>
      <w:r>
        <w:rPr>
          <w:lang w:val="en-AU"/>
        </w:rPr>
        <w:t>of the Act contains</w:t>
      </w:r>
      <w:r w:rsidR="000463F3">
        <w:rPr>
          <w:lang w:val="en-AU"/>
        </w:rPr>
        <w:t xml:space="preserve"> </w:t>
      </w:r>
      <w:r w:rsidR="00133341" w:rsidRPr="00133341">
        <w:rPr>
          <w:lang w:val="en-AU"/>
        </w:rPr>
        <w:t>n</w:t>
      </w:r>
      <w:r w:rsidR="009213B1" w:rsidRPr="00133341">
        <w:rPr>
          <w:lang w:val="en-AU"/>
        </w:rPr>
        <w:t>ew requirement</w:t>
      </w:r>
      <w:r w:rsidR="000463F3">
        <w:rPr>
          <w:lang w:val="en-AU"/>
        </w:rPr>
        <w:t>s</w:t>
      </w:r>
      <w:r w:rsidR="00C51CB3">
        <w:rPr>
          <w:lang w:val="en-AU"/>
        </w:rPr>
        <w:t xml:space="preserve"> </w:t>
      </w:r>
      <w:r w:rsidR="009213B1" w:rsidRPr="00133341">
        <w:rPr>
          <w:lang w:val="en-AU"/>
        </w:rPr>
        <w:t>for</w:t>
      </w:r>
      <w:r w:rsidR="000463F3">
        <w:rPr>
          <w:lang w:val="en-AU"/>
        </w:rPr>
        <w:t xml:space="preserve"> inclusion in an association’s rules of</w:t>
      </w:r>
      <w:r w:rsidR="009213B1" w:rsidRPr="00133341">
        <w:rPr>
          <w:lang w:val="en-AU"/>
        </w:rPr>
        <w:t xml:space="preserve"> </w:t>
      </w:r>
      <w:r w:rsidR="009213B1" w:rsidRPr="00133341">
        <w:rPr>
          <w:b/>
          <w:bCs/>
          <w:lang w:val="en-AU"/>
        </w:rPr>
        <w:t>a dispute resolution procedure,</w:t>
      </w:r>
      <w:r w:rsidR="009213B1" w:rsidRPr="00133341">
        <w:rPr>
          <w:lang w:val="en-AU"/>
        </w:rPr>
        <w:t xml:space="preserve"> </w:t>
      </w:r>
      <w:r w:rsidR="00133341" w:rsidRPr="00133341">
        <w:rPr>
          <w:lang w:val="en-AU"/>
        </w:rPr>
        <w:t>applying to</w:t>
      </w:r>
      <w:r w:rsidR="009213B1" w:rsidRPr="00133341">
        <w:rPr>
          <w:lang w:val="en-AU"/>
        </w:rPr>
        <w:t xml:space="preserve"> disputes between </w:t>
      </w:r>
      <w:r w:rsidR="00133341" w:rsidRPr="00133341">
        <w:rPr>
          <w:lang w:val="en-AU"/>
        </w:rPr>
        <w:t>M</w:t>
      </w:r>
      <w:r w:rsidR="009213B1" w:rsidRPr="00133341">
        <w:rPr>
          <w:lang w:val="en-AU"/>
        </w:rPr>
        <w:t>embers</w:t>
      </w:r>
      <w:r w:rsidR="00133341" w:rsidRPr="00133341">
        <w:rPr>
          <w:lang w:val="en-AU"/>
        </w:rPr>
        <w:t xml:space="preserve"> in their capacity as Members</w:t>
      </w:r>
      <w:r w:rsidR="009213B1" w:rsidRPr="00133341">
        <w:rPr>
          <w:lang w:val="en-AU"/>
        </w:rPr>
        <w:t xml:space="preserve"> or between a </w:t>
      </w:r>
      <w:r w:rsidR="00133341" w:rsidRPr="00133341">
        <w:rPr>
          <w:lang w:val="en-AU"/>
        </w:rPr>
        <w:t>M</w:t>
      </w:r>
      <w:r w:rsidR="009213B1" w:rsidRPr="00133341">
        <w:rPr>
          <w:lang w:val="en-AU"/>
        </w:rPr>
        <w:t xml:space="preserve">ember and the </w:t>
      </w:r>
      <w:r w:rsidR="00133341" w:rsidRPr="00133341">
        <w:rPr>
          <w:lang w:val="en-AU"/>
        </w:rPr>
        <w:t>A</w:t>
      </w:r>
      <w:r w:rsidR="009213B1" w:rsidRPr="00133341">
        <w:rPr>
          <w:lang w:val="en-AU"/>
        </w:rPr>
        <w:t>ssociation/</w:t>
      </w:r>
      <w:r w:rsidR="00133341" w:rsidRPr="00133341">
        <w:rPr>
          <w:lang w:val="en-AU"/>
        </w:rPr>
        <w:t>C</w:t>
      </w:r>
      <w:r w:rsidR="009213B1" w:rsidRPr="00133341">
        <w:rPr>
          <w:lang w:val="en-AU"/>
        </w:rPr>
        <w:t xml:space="preserve">ommittee, and setting down requirements for any </w:t>
      </w:r>
      <w:r w:rsidR="009213B1" w:rsidRPr="000E09C8">
        <w:rPr>
          <w:b/>
          <w:bCs/>
          <w:lang w:val="en-AU"/>
        </w:rPr>
        <w:t>determinative</w:t>
      </w:r>
      <w:r w:rsidR="009213B1" w:rsidRPr="00133341">
        <w:rPr>
          <w:lang w:val="en-AU"/>
        </w:rPr>
        <w:t xml:space="preserve"> disputes resolution procedure.</w:t>
      </w:r>
      <w:r w:rsidR="00B807E8">
        <w:rPr>
          <w:lang w:val="en-AU"/>
        </w:rPr>
        <w:t xml:space="preserve">  </w:t>
      </w:r>
    </w:p>
    <w:p w14:paraId="66B0A3D9" w14:textId="77777777" w:rsidR="00B807E8" w:rsidRDefault="00B807E8" w:rsidP="00B807E8">
      <w:pPr>
        <w:rPr>
          <w:lang w:val="en-AU"/>
        </w:rPr>
      </w:pPr>
    </w:p>
    <w:p w14:paraId="5DCD7CF7" w14:textId="4C524193" w:rsidR="00C51CB3" w:rsidRDefault="00B807E8" w:rsidP="00B807E8">
      <w:pPr>
        <w:rPr>
          <w:lang w:val="en-AU"/>
        </w:rPr>
      </w:pPr>
      <w:r>
        <w:rPr>
          <w:i/>
          <w:iCs/>
          <w:lang w:val="en-AU"/>
        </w:rPr>
        <w:t xml:space="preserve">Changes to </w:t>
      </w:r>
      <w:r w:rsidR="000E09C8">
        <w:rPr>
          <w:i/>
          <w:iCs/>
          <w:lang w:val="en-AU"/>
        </w:rPr>
        <w:t>ARF</w:t>
      </w:r>
      <w:r>
        <w:rPr>
          <w:i/>
          <w:iCs/>
          <w:lang w:val="en-AU"/>
        </w:rPr>
        <w:t xml:space="preserve"> </w:t>
      </w:r>
      <w:r w:rsidRPr="00B807E8">
        <w:rPr>
          <w:lang w:val="en-AU"/>
        </w:rPr>
        <w:t>Rules</w:t>
      </w:r>
      <w:r>
        <w:rPr>
          <w:lang w:val="en-AU"/>
        </w:rPr>
        <w:t xml:space="preserve">:  </w:t>
      </w:r>
      <w:r w:rsidRPr="00B807E8">
        <w:rPr>
          <w:lang w:val="en-AU"/>
        </w:rPr>
        <w:t>The</w:t>
      </w:r>
      <w:r>
        <w:rPr>
          <w:lang w:val="en-AU"/>
        </w:rPr>
        <w:t xml:space="preserve"> Committee decided in the first instance to propose a new rule </w:t>
      </w:r>
      <w:r w:rsidR="00DA6161">
        <w:rPr>
          <w:lang w:val="en-AU"/>
        </w:rPr>
        <w:t>16A</w:t>
      </w:r>
      <w:r>
        <w:rPr>
          <w:lang w:val="en-AU"/>
        </w:rPr>
        <w:t xml:space="preserve"> that would reflect the specific principles required by section 65B and the requirement to accord natural justice in section 50 of the Act</w:t>
      </w:r>
      <w:r w:rsidR="00C51CB3">
        <w:rPr>
          <w:lang w:val="en-AU"/>
        </w:rPr>
        <w:t>.</w:t>
      </w:r>
      <w:r w:rsidR="000463F3">
        <w:rPr>
          <w:lang w:val="en-AU"/>
        </w:rPr>
        <w:t xml:space="preserve"> </w:t>
      </w:r>
      <w:r w:rsidR="00C51CB3">
        <w:rPr>
          <w:lang w:val="en-AU"/>
        </w:rPr>
        <w:t xml:space="preserve"> </w:t>
      </w:r>
      <w:r w:rsidR="00C51CB3" w:rsidRPr="009B449E">
        <w:rPr>
          <w:b/>
          <w:bCs/>
          <w:lang w:val="en-AU"/>
        </w:rPr>
        <w:t>That rule</w:t>
      </w:r>
      <w:r w:rsidRPr="009B449E">
        <w:rPr>
          <w:b/>
          <w:bCs/>
          <w:lang w:val="en-AU"/>
        </w:rPr>
        <w:t xml:space="preserve"> </w:t>
      </w:r>
      <w:r w:rsidR="00C51CB3" w:rsidRPr="009B449E">
        <w:rPr>
          <w:b/>
          <w:bCs/>
          <w:lang w:val="en-AU"/>
        </w:rPr>
        <w:t>w</w:t>
      </w:r>
      <w:r w:rsidRPr="009B449E">
        <w:rPr>
          <w:b/>
          <w:bCs/>
          <w:lang w:val="en-AU"/>
        </w:rPr>
        <w:t>ould</w:t>
      </w:r>
      <w:r w:rsidR="00C51CB3" w:rsidRPr="009B449E">
        <w:rPr>
          <w:b/>
          <w:bCs/>
          <w:lang w:val="en-AU"/>
        </w:rPr>
        <w:t xml:space="preserve"> ideally be</w:t>
      </w:r>
      <w:r w:rsidRPr="009B449E">
        <w:rPr>
          <w:b/>
          <w:bCs/>
          <w:lang w:val="en-AU"/>
        </w:rPr>
        <w:t xml:space="preserve"> complemented </w:t>
      </w:r>
      <w:r w:rsidR="00C51CB3" w:rsidRPr="009B449E">
        <w:rPr>
          <w:b/>
          <w:bCs/>
          <w:lang w:val="en-AU"/>
        </w:rPr>
        <w:t xml:space="preserve">later </w:t>
      </w:r>
      <w:r w:rsidRPr="009B449E">
        <w:rPr>
          <w:b/>
          <w:bCs/>
          <w:lang w:val="en-AU"/>
        </w:rPr>
        <w:t>by a protocol adopted by the Committee for handling actual complaints.</w:t>
      </w:r>
      <w:r w:rsidR="009213B1" w:rsidRPr="009B449E">
        <w:rPr>
          <w:b/>
          <w:bCs/>
          <w:lang w:val="en-AU"/>
        </w:rPr>
        <w:t xml:space="preserve">  </w:t>
      </w:r>
      <w:r w:rsidR="002A39BB" w:rsidRPr="009B449E">
        <w:rPr>
          <w:b/>
          <w:bCs/>
          <w:lang w:val="en-AU"/>
        </w:rPr>
        <w:t>A</w:t>
      </w:r>
      <w:r w:rsidR="00A8284E" w:rsidRPr="009B449E">
        <w:rPr>
          <w:b/>
          <w:bCs/>
          <w:lang w:val="en-AU"/>
        </w:rPr>
        <w:t xml:space="preserve"> draft</w:t>
      </w:r>
      <w:r w:rsidR="002A39BB" w:rsidRPr="009B449E">
        <w:rPr>
          <w:b/>
          <w:bCs/>
          <w:lang w:val="en-AU"/>
        </w:rPr>
        <w:t xml:space="preserve"> protocol for later discussion </w:t>
      </w:r>
      <w:r w:rsidR="00A8284E" w:rsidRPr="009B449E">
        <w:rPr>
          <w:b/>
          <w:bCs/>
          <w:lang w:val="en-AU"/>
        </w:rPr>
        <w:t>will be</w:t>
      </w:r>
      <w:r w:rsidR="002A39BB" w:rsidRPr="009B449E">
        <w:rPr>
          <w:b/>
          <w:bCs/>
          <w:lang w:val="en-AU"/>
        </w:rPr>
        <w:t xml:space="preserve"> provided</w:t>
      </w:r>
      <w:r w:rsidR="00A8284E" w:rsidRPr="009B449E">
        <w:rPr>
          <w:b/>
          <w:bCs/>
          <w:lang w:val="en-AU"/>
        </w:rPr>
        <w:t xml:space="preserve"> by the drafting advisor</w:t>
      </w:r>
      <w:r w:rsidR="002A39BB" w:rsidRPr="009B449E">
        <w:rPr>
          <w:b/>
          <w:bCs/>
          <w:lang w:val="en-AU"/>
        </w:rPr>
        <w:t>.</w:t>
      </w:r>
      <w:r w:rsidR="00A8284E">
        <w:rPr>
          <w:lang w:val="en-AU"/>
        </w:rPr>
        <w:t xml:space="preserve">  The protocol is expected to include a </w:t>
      </w:r>
      <w:r w:rsidR="009B449E">
        <w:rPr>
          <w:lang w:val="en-AU"/>
        </w:rPr>
        <w:t>panel</w:t>
      </w:r>
      <w:r w:rsidR="00A8284E">
        <w:rPr>
          <w:lang w:val="en-AU"/>
        </w:rPr>
        <w:t xml:space="preserve"> appeal provision</w:t>
      </w:r>
      <w:r w:rsidR="009B449E">
        <w:rPr>
          <w:lang w:val="en-AU"/>
        </w:rPr>
        <w:t xml:space="preserve"> similar</w:t>
      </w:r>
      <w:r w:rsidR="00A8284E">
        <w:rPr>
          <w:lang w:val="en-AU"/>
        </w:rPr>
        <w:t xml:space="preserve"> to that contained in new rule </w:t>
      </w:r>
      <w:r w:rsidR="00DA6161">
        <w:rPr>
          <w:lang w:val="en-AU"/>
        </w:rPr>
        <w:t>16</w:t>
      </w:r>
      <w:r w:rsidR="00A8284E">
        <w:rPr>
          <w:lang w:val="en-AU"/>
        </w:rPr>
        <w:t xml:space="preserve"> for disciplinary matters.</w:t>
      </w:r>
    </w:p>
    <w:p w14:paraId="45ECC9CD" w14:textId="77777777" w:rsidR="00C51CB3" w:rsidRDefault="00C51CB3" w:rsidP="00B807E8">
      <w:pPr>
        <w:rPr>
          <w:lang w:val="en-AU"/>
        </w:rPr>
      </w:pPr>
    </w:p>
    <w:p w14:paraId="1F101370" w14:textId="21348016" w:rsidR="00C51CB3" w:rsidRDefault="00133341" w:rsidP="00B807E8">
      <w:pPr>
        <w:rPr>
          <w:lang w:val="en-AU"/>
        </w:rPr>
      </w:pPr>
      <w:r>
        <w:rPr>
          <w:lang w:val="en-AU"/>
        </w:rPr>
        <w:t xml:space="preserve">The Committee noted that there was no specific provision for mediation in section 65B, </w:t>
      </w:r>
      <w:r w:rsidR="00B807E8">
        <w:rPr>
          <w:lang w:val="en-AU"/>
        </w:rPr>
        <w:t>but</w:t>
      </w:r>
      <w:r>
        <w:rPr>
          <w:lang w:val="en-AU"/>
        </w:rPr>
        <w:t xml:space="preserve"> that Access Canberra had advised another association that </w:t>
      </w:r>
      <w:r w:rsidR="00973C50">
        <w:rPr>
          <w:lang w:val="en-AU"/>
        </w:rPr>
        <w:t>that did not preclude individual associations from including provision for mediation either in their new rule, or as part of their protocols for dealing with disputes</w:t>
      </w:r>
      <w:r w:rsidR="002A39BB">
        <w:rPr>
          <w:lang w:val="en-AU"/>
        </w:rPr>
        <w:t>, as long as any determinative procedure is in accord with section 65B</w:t>
      </w:r>
      <w:r w:rsidR="00973C50">
        <w:rPr>
          <w:lang w:val="en-AU"/>
        </w:rPr>
        <w:t>.</w:t>
      </w:r>
      <w:r w:rsidR="00F739BA">
        <w:rPr>
          <w:lang w:val="en-AU"/>
        </w:rPr>
        <w:t xml:space="preserve">  At least one association, Manning Clark House Inc, has adopted a procedure</w:t>
      </w:r>
      <w:r w:rsidR="002A39BB">
        <w:rPr>
          <w:lang w:val="en-AU"/>
        </w:rPr>
        <w:t xml:space="preserve"> in its Rules</w:t>
      </w:r>
      <w:r w:rsidR="00F739BA">
        <w:rPr>
          <w:lang w:val="en-AU"/>
        </w:rPr>
        <w:t xml:space="preserve"> that includes mediation as the first step to resolving disputes the parties</w:t>
      </w:r>
      <w:r w:rsidR="004D7A54">
        <w:rPr>
          <w:lang w:val="en-AU"/>
        </w:rPr>
        <w:t xml:space="preserve"> themselves</w:t>
      </w:r>
      <w:r w:rsidR="00F739BA">
        <w:rPr>
          <w:lang w:val="en-AU"/>
        </w:rPr>
        <w:t xml:space="preserve"> have not been able to resolve.</w:t>
      </w:r>
    </w:p>
    <w:p w14:paraId="441930F5" w14:textId="77777777" w:rsidR="00C51CB3" w:rsidRDefault="00C51CB3" w:rsidP="00B807E8">
      <w:pPr>
        <w:rPr>
          <w:lang w:val="en-AU"/>
        </w:rPr>
      </w:pPr>
    </w:p>
    <w:p w14:paraId="0347794B" w14:textId="44FA23A4" w:rsidR="00133341" w:rsidRDefault="00B807E8" w:rsidP="00B807E8">
      <w:pPr>
        <w:rPr>
          <w:lang w:val="en-AU"/>
        </w:rPr>
      </w:pPr>
      <w:r>
        <w:rPr>
          <w:lang w:val="en-AU"/>
        </w:rPr>
        <w:t xml:space="preserve">After obtaining advice on the matter, it was decided not to include provisions for mediation in the new rule </w:t>
      </w:r>
      <w:r w:rsidR="00DA6161">
        <w:rPr>
          <w:lang w:val="en-AU"/>
        </w:rPr>
        <w:t>16A</w:t>
      </w:r>
      <w:r>
        <w:rPr>
          <w:lang w:val="en-AU"/>
        </w:rPr>
        <w:t>, because of potential costs, but to explore later whether to build mediation into a specific protocol.  If later guidance or Model Rules</w:t>
      </w:r>
      <w:r w:rsidR="00C22F54">
        <w:rPr>
          <w:lang w:val="en-AU"/>
        </w:rPr>
        <w:t xml:space="preserve"> on this matter</w:t>
      </w:r>
      <w:r>
        <w:rPr>
          <w:lang w:val="en-AU"/>
        </w:rPr>
        <w:t xml:space="preserve"> </w:t>
      </w:r>
      <w:r w:rsidR="00F739BA">
        <w:rPr>
          <w:lang w:val="en-AU"/>
        </w:rPr>
        <w:t>are</w:t>
      </w:r>
      <w:r>
        <w:rPr>
          <w:lang w:val="en-AU"/>
        </w:rPr>
        <w:t xml:space="preserve"> provided</w:t>
      </w:r>
      <w:r w:rsidR="00C22F54">
        <w:rPr>
          <w:lang w:val="en-AU"/>
        </w:rPr>
        <w:t xml:space="preserve"> by government,</w:t>
      </w:r>
      <w:r w:rsidR="002A39BB">
        <w:rPr>
          <w:lang w:val="en-AU"/>
        </w:rPr>
        <w:t xml:space="preserve"> further</w:t>
      </w:r>
      <w:r>
        <w:rPr>
          <w:lang w:val="en-AU"/>
        </w:rPr>
        <w:t xml:space="preserve"> </w:t>
      </w:r>
      <w:r w:rsidR="00F739BA">
        <w:rPr>
          <w:lang w:val="en-AU"/>
        </w:rPr>
        <w:t>changes could</w:t>
      </w:r>
      <w:r w:rsidR="00A41315">
        <w:rPr>
          <w:lang w:val="en-AU"/>
        </w:rPr>
        <w:t xml:space="preserve"> then</w:t>
      </w:r>
      <w:r w:rsidR="00F739BA">
        <w:rPr>
          <w:lang w:val="en-AU"/>
        </w:rPr>
        <w:t xml:space="preserve"> be proposed to the </w:t>
      </w:r>
      <w:r w:rsidR="002A39BB">
        <w:rPr>
          <w:lang w:val="en-AU"/>
        </w:rPr>
        <w:t>ARF</w:t>
      </w:r>
      <w:r w:rsidR="00F739BA">
        <w:rPr>
          <w:lang w:val="en-AU"/>
        </w:rPr>
        <w:t xml:space="preserve"> Rules </w:t>
      </w:r>
      <w:r w:rsidR="00776C22">
        <w:rPr>
          <w:lang w:val="en-AU"/>
        </w:rPr>
        <w:t>and</w:t>
      </w:r>
      <w:r w:rsidR="00F739BA">
        <w:rPr>
          <w:lang w:val="en-AU"/>
        </w:rPr>
        <w:t xml:space="preserve"> any protocols adopted by the Committee.</w:t>
      </w:r>
    </w:p>
    <w:p w14:paraId="3CEEEC8C" w14:textId="5B5C2270" w:rsidR="00F90227" w:rsidRDefault="00F90227" w:rsidP="00150497">
      <w:pPr>
        <w:pStyle w:val="Sub-subparagraph"/>
        <w:keepNext/>
        <w:numPr>
          <w:ilvl w:val="0"/>
          <w:numId w:val="3"/>
        </w:numPr>
        <w:rPr>
          <w:b/>
          <w:bCs/>
        </w:rPr>
      </w:pPr>
      <w:r>
        <w:rPr>
          <w:b/>
          <w:bCs/>
        </w:rPr>
        <w:t>Newly-defined duties of office bearers of associations</w:t>
      </w:r>
    </w:p>
    <w:p w14:paraId="34F5838D" w14:textId="1ECF9FF2" w:rsidR="00F90227" w:rsidRDefault="00F90227" w:rsidP="00F90227">
      <w:pPr>
        <w:pStyle w:val="ListParagraph"/>
        <w:ind w:left="0"/>
        <w:rPr>
          <w:lang w:val="en-AU"/>
        </w:rPr>
      </w:pPr>
      <w:r>
        <w:rPr>
          <w:lang w:val="en-AU"/>
        </w:rPr>
        <w:t xml:space="preserve">New Division 4.2 of the Act (sections 66A to 66D) has </w:t>
      </w:r>
      <w:r w:rsidRPr="00F44509">
        <w:rPr>
          <w:b/>
          <w:bCs/>
          <w:lang w:val="en-AU"/>
        </w:rPr>
        <w:t xml:space="preserve">introduced </w:t>
      </w:r>
      <w:r>
        <w:rPr>
          <w:b/>
          <w:bCs/>
          <w:lang w:val="en-AU"/>
        </w:rPr>
        <w:t>legally-binding</w:t>
      </w:r>
      <w:r w:rsidRPr="00F44509">
        <w:rPr>
          <w:b/>
          <w:bCs/>
          <w:lang w:val="en-AU"/>
        </w:rPr>
        <w:t xml:space="preserve"> duties that office-bearers must fulfil</w:t>
      </w:r>
      <w:r>
        <w:rPr>
          <w:b/>
          <w:bCs/>
          <w:lang w:val="en-AU"/>
        </w:rPr>
        <w:t xml:space="preserve">.  </w:t>
      </w:r>
      <w:r>
        <w:rPr>
          <w:lang w:val="en-AU"/>
        </w:rPr>
        <w:t>The reforms</w:t>
      </w:r>
      <w:r w:rsidRPr="00F44509">
        <w:rPr>
          <w:b/>
          <w:bCs/>
          <w:lang w:val="en-AU"/>
        </w:rPr>
        <w:t xml:space="preserve"> </w:t>
      </w:r>
      <w:r w:rsidRPr="00F44509">
        <w:rPr>
          <w:lang w:val="en-AU"/>
        </w:rPr>
        <w:t>provid</w:t>
      </w:r>
      <w:r>
        <w:rPr>
          <w:lang w:val="en-AU"/>
        </w:rPr>
        <w:t>e</w:t>
      </w:r>
      <w:r w:rsidRPr="00F44509">
        <w:rPr>
          <w:lang w:val="en-AU"/>
        </w:rPr>
        <w:t xml:space="preserve"> for</w:t>
      </w:r>
      <w:r>
        <w:rPr>
          <w:lang w:val="en-AU"/>
        </w:rPr>
        <w:t>:</w:t>
      </w:r>
      <w:r w:rsidRPr="00F44509">
        <w:rPr>
          <w:lang w:val="en-AU"/>
        </w:rPr>
        <w:t xml:space="preserve"> duties of care and diligence</w:t>
      </w:r>
      <w:r>
        <w:rPr>
          <w:lang w:val="en-AU"/>
        </w:rPr>
        <w:t>,</w:t>
      </w:r>
      <w:r w:rsidRPr="00F44509">
        <w:rPr>
          <w:lang w:val="en-AU"/>
        </w:rPr>
        <w:t xml:space="preserve"> acting in good faith and for proper purposes, and not improperly using their positions, or information gained from holding those positions, to gain advantage for any person </w:t>
      </w:r>
      <w:r>
        <w:rPr>
          <w:lang w:val="en-AU"/>
        </w:rPr>
        <w:t>or</w:t>
      </w:r>
      <w:r w:rsidR="007F28CB">
        <w:rPr>
          <w:lang w:val="en-AU"/>
        </w:rPr>
        <w:t xml:space="preserve"> to</w:t>
      </w:r>
      <w:r w:rsidRPr="00F44509">
        <w:rPr>
          <w:lang w:val="en-AU"/>
        </w:rPr>
        <w:t xml:space="preserve"> caus</w:t>
      </w:r>
      <w:r>
        <w:rPr>
          <w:lang w:val="en-AU"/>
        </w:rPr>
        <w:t>e</w:t>
      </w:r>
      <w:r w:rsidRPr="00F44509">
        <w:rPr>
          <w:lang w:val="en-AU"/>
        </w:rPr>
        <w:t xml:space="preserve"> detriment to the association.  </w:t>
      </w:r>
      <w:r>
        <w:rPr>
          <w:lang w:val="en-AU"/>
        </w:rPr>
        <w:t xml:space="preserve">While there is no need to include these duties in the </w:t>
      </w:r>
      <w:r w:rsidR="007D1FAF">
        <w:rPr>
          <w:lang w:val="en-AU"/>
        </w:rPr>
        <w:t>ARF</w:t>
      </w:r>
      <w:r>
        <w:rPr>
          <w:lang w:val="en-AU"/>
        </w:rPr>
        <w:t xml:space="preserve"> Rules, for the benefit of Members and Committee Members a Note has been inserted after rule 1</w:t>
      </w:r>
      <w:r w:rsidR="007D1FAF">
        <w:rPr>
          <w:lang w:val="en-AU"/>
        </w:rPr>
        <w:t>8</w:t>
      </w:r>
      <w:r>
        <w:rPr>
          <w:lang w:val="en-AU"/>
        </w:rPr>
        <w:t>, ‘</w:t>
      </w:r>
      <w:r w:rsidR="007D1FAF">
        <w:rPr>
          <w:lang w:val="en-AU"/>
        </w:rPr>
        <w:t xml:space="preserve">Constitution and </w:t>
      </w:r>
      <w:r>
        <w:rPr>
          <w:lang w:val="en-AU"/>
        </w:rPr>
        <w:t>Membership</w:t>
      </w:r>
      <w:r w:rsidR="007D1FAF">
        <w:rPr>
          <w:lang w:val="en-AU"/>
        </w:rPr>
        <w:t>’</w:t>
      </w:r>
      <w:r>
        <w:rPr>
          <w:lang w:val="en-AU"/>
        </w:rPr>
        <w:t xml:space="preserve"> </w:t>
      </w:r>
      <w:r w:rsidR="007D1FAF">
        <w:rPr>
          <w:lang w:val="en-AU"/>
        </w:rPr>
        <w:t>(</w:t>
      </w:r>
      <w:r>
        <w:rPr>
          <w:lang w:val="en-AU"/>
        </w:rPr>
        <w:t>of the Committee</w:t>
      </w:r>
      <w:r w:rsidR="007D1FAF">
        <w:rPr>
          <w:lang w:val="en-AU"/>
        </w:rPr>
        <w:t>)</w:t>
      </w:r>
      <w:r>
        <w:rPr>
          <w:lang w:val="en-AU"/>
        </w:rPr>
        <w:t>.</w:t>
      </w:r>
    </w:p>
    <w:p w14:paraId="49C47B5C" w14:textId="77777777" w:rsidR="00F90227" w:rsidRDefault="00F90227" w:rsidP="00F90227">
      <w:pPr>
        <w:pStyle w:val="ListParagraph"/>
        <w:ind w:left="0"/>
        <w:rPr>
          <w:lang w:val="en-AU"/>
        </w:rPr>
      </w:pPr>
    </w:p>
    <w:p w14:paraId="15321226" w14:textId="538DC60E" w:rsidR="00F90227" w:rsidRDefault="00F90227" w:rsidP="00F90227">
      <w:pPr>
        <w:pStyle w:val="ListParagraph"/>
        <w:ind w:left="0"/>
        <w:rPr>
          <w:lang w:val="en-AU"/>
        </w:rPr>
      </w:pPr>
      <w:r>
        <w:rPr>
          <w:lang w:val="en-AU"/>
        </w:rPr>
        <w:t xml:space="preserve">The new statutory provisions concerning office-bearers’ duties </w:t>
      </w:r>
      <w:r w:rsidR="00C87A98">
        <w:rPr>
          <w:lang w:val="en-AU"/>
        </w:rPr>
        <w:t>will be</w:t>
      </w:r>
      <w:r>
        <w:rPr>
          <w:lang w:val="en-AU"/>
        </w:rPr>
        <w:t xml:space="preserve"> brought to the attention of all present </w:t>
      </w:r>
      <w:r w:rsidR="00C87A98">
        <w:rPr>
          <w:lang w:val="en-AU"/>
        </w:rPr>
        <w:t>ARF</w:t>
      </w:r>
      <w:r>
        <w:rPr>
          <w:lang w:val="en-AU"/>
        </w:rPr>
        <w:t xml:space="preserve"> office-bearers, and of new office-bearers on election or </w:t>
      </w:r>
      <w:r>
        <w:rPr>
          <w:lang w:val="en-AU"/>
        </w:rPr>
        <w:lastRenderedPageBreak/>
        <w:t xml:space="preserve">appointment.  In effect these duties </w:t>
      </w:r>
      <w:r w:rsidR="00B27F41">
        <w:rPr>
          <w:lang w:val="en-AU"/>
        </w:rPr>
        <w:t xml:space="preserve">also </w:t>
      </w:r>
      <w:r>
        <w:rPr>
          <w:lang w:val="en-AU"/>
        </w:rPr>
        <w:t>apply at common law to all directors and committee members, and should therefore be complied with by all committee members.</w:t>
      </w:r>
      <w:r>
        <w:rPr>
          <w:rStyle w:val="FootnoteReference"/>
          <w:lang w:val="en-AU"/>
        </w:rPr>
        <w:footnoteReference w:id="1"/>
      </w:r>
      <w:r>
        <w:rPr>
          <w:lang w:val="en-AU"/>
        </w:rPr>
        <w:t xml:space="preserve">  </w:t>
      </w:r>
    </w:p>
    <w:p w14:paraId="654AA3DE" w14:textId="7B7D770D" w:rsidR="00F92BE5" w:rsidRDefault="00F92BE5" w:rsidP="00B807E8">
      <w:pPr>
        <w:rPr>
          <w:lang w:val="en-AU"/>
        </w:rPr>
      </w:pPr>
    </w:p>
    <w:p w14:paraId="5854E706" w14:textId="671A82E2" w:rsidR="00F92BE5" w:rsidRPr="00F92BE5" w:rsidRDefault="00F92BE5" w:rsidP="00150497">
      <w:pPr>
        <w:pStyle w:val="ListParagraph"/>
        <w:keepNext/>
        <w:numPr>
          <w:ilvl w:val="0"/>
          <w:numId w:val="3"/>
        </w:numPr>
        <w:rPr>
          <w:b/>
          <w:bCs/>
          <w:lang w:val="en-AU"/>
        </w:rPr>
      </w:pPr>
      <w:r w:rsidRPr="00F92BE5">
        <w:rPr>
          <w:b/>
          <w:bCs/>
          <w:lang w:val="en-AU"/>
        </w:rPr>
        <w:t>Minor amendment concerning resignation of a Committee Member</w:t>
      </w:r>
    </w:p>
    <w:p w14:paraId="4C2FA5C6" w14:textId="77777777" w:rsidR="00F92BE5" w:rsidRDefault="00F92BE5" w:rsidP="00F92BE5">
      <w:pPr>
        <w:rPr>
          <w:lang w:val="en-AU"/>
        </w:rPr>
      </w:pPr>
      <w:r>
        <w:rPr>
          <w:lang w:val="en-AU"/>
        </w:rPr>
        <w:t>New section 64A of the Act provides that a ‘member of the committee of an incorporated association may resign as a committee member by written notice given to the public officer’.</w:t>
      </w:r>
    </w:p>
    <w:p w14:paraId="5AF7798A" w14:textId="77777777" w:rsidR="00F92BE5" w:rsidRDefault="00F92BE5" w:rsidP="00F92BE5">
      <w:pPr>
        <w:rPr>
          <w:lang w:val="en-AU"/>
        </w:rPr>
      </w:pPr>
    </w:p>
    <w:p w14:paraId="174D3426" w14:textId="1D6FF2A7" w:rsidR="00F92BE5" w:rsidRDefault="00F92BE5" w:rsidP="00B807E8">
      <w:pPr>
        <w:rPr>
          <w:lang w:val="en-AU"/>
        </w:rPr>
      </w:pPr>
      <w:r>
        <w:rPr>
          <w:i/>
          <w:iCs/>
          <w:lang w:val="en-AU"/>
        </w:rPr>
        <w:t xml:space="preserve">Change to </w:t>
      </w:r>
      <w:r w:rsidR="00C87A98">
        <w:rPr>
          <w:i/>
          <w:iCs/>
          <w:lang w:val="en-AU"/>
        </w:rPr>
        <w:t>ARF</w:t>
      </w:r>
      <w:r>
        <w:rPr>
          <w:i/>
          <w:iCs/>
          <w:lang w:val="en-AU"/>
        </w:rPr>
        <w:t xml:space="preserve"> rule </w:t>
      </w:r>
      <w:r w:rsidR="00AE42A5">
        <w:rPr>
          <w:i/>
          <w:iCs/>
          <w:lang w:val="en-AU"/>
        </w:rPr>
        <w:t>24</w:t>
      </w:r>
      <w:r>
        <w:rPr>
          <w:i/>
          <w:iCs/>
          <w:lang w:val="en-AU"/>
        </w:rPr>
        <w:t>(c)</w:t>
      </w:r>
      <w:r w:rsidR="000204D5">
        <w:rPr>
          <w:lang w:val="en-AU"/>
        </w:rPr>
        <w:t>:</w:t>
      </w:r>
      <w:r>
        <w:rPr>
          <w:i/>
          <w:iCs/>
          <w:lang w:val="en-AU"/>
        </w:rPr>
        <w:t xml:space="preserve"> </w:t>
      </w:r>
      <w:r w:rsidR="00C87A98">
        <w:rPr>
          <w:lang w:val="en-AU"/>
        </w:rPr>
        <w:t>S</w:t>
      </w:r>
      <w:r>
        <w:rPr>
          <w:lang w:val="en-AU"/>
        </w:rPr>
        <w:t>ubrule</w:t>
      </w:r>
      <w:r w:rsidR="00C87A98">
        <w:rPr>
          <w:lang w:val="en-AU"/>
        </w:rPr>
        <w:t xml:space="preserve"> </w:t>
      </w:r>
      <w:r w:rsidR="00AE42A5">
        <w:rPr>
          <w:lang w:val="en-AU"/>
        </w:rPr>
        <w:t>24</w:t>
      </w:r>
      <w:r>
        <w:rPr>
          <w:lang w:val="en-AU"/>
        </w:rPr>
        <w:t xml:space="preserve"> </w:t>
      </w:r>
      <w:r w:rsidR="000463F3">
        <w:rPr>
          <w:lang w:val="en-AU"/>
        </w:rPr>
        <w:t>sets out the circumstances</w:t>
      </w:r>
      <w:r>
        <w:rPr>
          <w:lang w:val="en-AU"/>
        </w:rPr>
        <w:t xml:space="preserve"> </w:t>
      </w:r>
      <w:r w:rsidR="00C87A98">
        <w:rPr>
          <w:lang w:val="en-AU"/>
        </w:rPr>
        <w:t>in which</w:t>
      </w:r>
      <w:r>
        <w:rPr>
          <w:lang w:val="en-AU"/>
        </w:rPr>
        <w:t xml:space="preserve"> a vacancy occurs in the office of a Member of the Committee.  Paragraph (c) of that provision has been amended to bring it into line with</w:t>
      </w:r>
      <w:r w:rsidR="004D7A54">
        <w:rPr>
          <w:lang w:val="en-AU"/>
        </w:rPr>
        <w:t xml:space="preserve"> new</w:t>
      </w:r>
      <w:r>
        <w:rPr>
          <w:lang w:val="en-AU"/>
        </w:rPr>
        <w:t xml:space="preserve"> section 64A</w:t>
      </w:r>
      <w:r w:rsidR="000463F3">
        <w:rPr>
          <w:lang w:val="en-AU"/>
        </w:rPr>
        <w:t xml:space="preserve"> by providing for written notice of resignation to be provided to the Public Officer</w:t>
      </w:r>
      <w:r>
        <w:rPr>
          <w:lang w:val="en-AU"/>
        </w:rPr>
        <w:t>.</w:t>
      </w:r>
    </w:p>
    <w:p w14:paraId="351D389C" w14:textId="3D118F97" w:rsidR="00EC4212" w:rsidRDefault="00EC4212" w:rsidP="00B807E8">
      <w:pPr>
        <w:rPr>
          <w:lang w:val="en-AU"/>
        </w:rPr>
      </w:pPr>
    </w:p>
    <w:p w14:paraId="65BE624E" w14:textId="2C170026" w:rsidR="00EC4212" w:rsidRPr="00EC4212" w:rsidRDefault="00EC4212" w:rsidP="00150497">
      <w:pPr>
        <w:pStyle w:val="ListParagraph"/>
        <w:numPr>
          <w:ilvl w:val="0"/>
          <w:numId w:val="3"/>
        </w:numPr>
        <w:rPr>
          <w:b/>
          <w:bCs/>
          <w:lang w:val="en-AU"/>
        </w:rPr>
      </w:pPr>
      <w:r w:rsidRPr="00EC4212">
        <w:rPr>
          <w:b/>
          <w:bCs/>
          <w:lang w:val="en-AU"/>
        </w:rPr>
        <w:t>Amendments concerning disclosing and managing ‘material personal interests’</w:t>
      </w:r>
    </w:p>
    <w:p w14:paraId="7EFBC892" w14:textId="63916443" w:rsidR="00A36796" w:rsidRDefault="00CD3783" w:rsidP="00CD3783">
      <w:pPr>
        <w:rPr>
          <w:lang w:val="en-AU"/>
        </w:rPr>
      </w:pPr>
      <w:r>
        <w:rPr>
          <w:lang w:val="en-AU"/>
        </w:rPr>
        <w:t>M</w:t>
      </w:r>
      <w:r w:rsidR="009213B1" w:rsidRPr="00CD3783">
        <w:rPr>
          <w:lang w:val="en-AU"/>
        </w:rPr>
        <w:t xml:space="preserve">ajor reforms </w:t>
      </w:r>
      <w:r>
        <w:rPr>
          <w:lang w:val="en-AU"/>
        </w:rPr>
        <w:t xml:space="preserve">in </w:t>
      </w:r>
      <w:r w:rsidR="009213B1" w:rsidRPr="00CD3783">
        <w:rPr>
          <w:lang w:val="en-AU"/>
        </w:rPr>
        <w:t>sections 65 and 65A</w:t>
      </w:r>
      <w:r>
        <w:rPr>
          <w:lang w:val="en-AU"/>
        </w:rPr>
        <w:t xml:space="preserve"> of the Act</w:t>
      </w:r>
      <w:r w:rsidR="009213B1" w:rsidRPr="00CD3783">
        <w:rPr>
          <w:lang w:val="en-AU"/>
        </w:rPr>
        <w:t xml:space="preserve"> make it mandatory for</w:t>
      </w:r>
      <w:r w:rsidR="008B581A">
        <w:rPr>
          <w:lang w:val="en-AU"/>
        </w:rPr>
        <w:t xml:space="preserve"> an association’s</w:t>
      </w:r>
      <w:r w:rsidR="009213B1" w:rsidRPr="00CD3783">
        <w:rPr>
          <w:lang w:val="en-AU"/>
        </w:rPr>
        <w:t xml:space="preserve"> </w:t>
      </w:r>
      <w:r w:rsidR="009213B1" w:rsidRPr="00CD3783">
        <w:rPr>
          <w:b/>
          <w:bCs/>
          <w:lang w:val="en-AU"/>
        </w:rPr>
        <w:t>committee members with a ‘material personal interest’ in a matter before the committee</w:t>
      </w:r>
      <w:r w:rsidR="009213B1" w:rsidRPr="00CD3783">
        <w:rPr>
          <w:lang w:val="en-AU"/>
        </w:rPr>
        <w:t xml:space="preserve"> to immediately disclose the extent and nature of that interest, and its relation to the association’s activities, and to disclose those matters in full to the next general meeting.  Under the strengthened provisions, a committee member who is required to make such a disclosure </w:t>
      </w:r>
      <w:r w:rsidR="009213B1" w:rsidRPr="00CD3783">
        <w:rPr>
          <w:b/>
          <w:bCs/>
          <w:lang w:val="en-AU"/>
        </w:rPr>
        <w:t>must NOT be present during either discussion or voting on the relevant matter</w:t>
      </w:r>
      <w:r w:rsidR="009213B1" w:rsidRPr="00CD3783">
        <w:rPr>
          <w:lang w:val="en-AU"/>
        </w:rPr>
        <w:t xml:space="preserve">.  </w:t>
      </w:r>
    </w:p>
    <w:p w14:paraId="72F2DC18" w14:textId="6ABCC3FC" w:rsidR="00A36796" w:rsidRDefault="00A36796" w:rsidP="00CD3783">
      <w:pPr>
        <w:rPr>
          <w:lang w:val="en-AU"/>
        </w:rPr>
      </w:pPr>
      <w:r>
        <w:rPr>
          <w:lang w:val="en-AU"/>
        </w:rPr>
        <w:t>The disclosure and how it has been managed must be included in the minutes of those meetings</w:t>
      </w:r>
      <w:r w:rsidR="009942C5">
        <w:rPr>
          <w:lang w:val="en-AU"/>
        </w:rPr>
        <w:t xml:space="preserve"> (subrule 28</w:t>
      </w:r>
      <w:r w:rsidR="00AE42A5">
        <w:rPr>
          <w:lang w:val="en-AU"/>
        </w:rPr>
        <w:t>A</w:t>
      </w:r>
      <w:r w:rsidR="009942C5">
        <w:rPr>
          <w:lang w:val="en-AU"/>
        </w:rPr>
        <w:t>(2))</w:t>
      </w:r>
      <w:r>
        <w:rPr>
          <w:lang w:val="en-AU"/>
        </w:rPr>
        <w:t>.</w:t>
      </w:r>
    </w:p>
    <w:p w14:paraId="17274BF7" w14:textId="77777777" w:rsidR="00A36796" w:rsidRDefault="00A36796" w:rsidP="00CD3783">
      <w:pPr>
        <w:rPr>
          <w:lang w:val="en-AU"/>
        </w:rPr>
      </w:pPr>
    </w:p>
    <w:p w14:paraId="7BE7FAEA" w14:textId="69F2800C" w:rsidR="009213B1" w:rsidRPr="00CD3783" w:rsidRDefault="009213B1" w:rsidP="00CD3783">
      <w:pPr>
        <w:rPr>
          <w:lang w:val="en-AU"/>
        </w:rPr>
      </w:pPr>
      <w:r w:rsidRPr="00CD3783">
        <w:rPr>
          <w:lang w:val="en-AU"/>
        </w:rPr>
        <w:t xml:space="preserve">There are heavy penalties (up to 20 penalty points) for breach of </w:t>
      </w:r>
      <w:r w:rsidRPr="00CD3783">
        <w:rPr>
          <w:b/>
          <w:bCs/>
          <w:lang w:val="en-AU"/>
        </w:rPr>
        <w:t>all</w:t>
      </w:r>
      <w:r w:rsidRPr="00CD3783">
        <w:rPr>
          <w:lang w:val="en-AU"/>
        </w:rPr>
        <w:t xml:space="preserve"> these requirements. </w:t>
      </w:r>
      <w:r w:rsidR="00CD3783">
        <w:rPr>
          <w:lang w:val="en-AU"/>
        </w:rPr>
        <w:t xml:space="preserve">These obligations are similar to those in section 191 of the </w:t>
      </w:r>
      <w:r w:rsidR="00CD3783">
        <w:rPr>
          <w:i/>
          <w:iCs/>
          <w:lang w:val="en-AU"/>
        </w:rPr>
        <w:t xml:space="preserve">Corporations Act 2001 </w:t>
      </w:r>
      <w:r w:rsidR="00CD3783">
        <w:rPr>
          <w:lang w:val="en-AU"/>
        </w:rPr>
        <w:t>(</w:t>
      </w:r>
      <w:proofErr w:type="spellStart"/>
      <w:r w:rsidR="00CD3783">
        <w:rPr>
          <w:lang w:val="en-AU"/>
        </w:rPr>
        <w:t>Cth</w:t>
      </w:r>
      <w:proofErr w:type="spellEnd"/>
      <w:r w:rsidR="00CD3783">
        <w:rPr>
          <w:lang w:val="en-AU"/>
        </w:rPr>
        <w:t>).</w:t>
      </w:r>
    </w:p>
    <w:p w14:paraId="5E166521" w14:textId="1C329242" w:rsidR="00CD3783" w:rsidRDefault="00CD3783" w:rsidP="00CD3783">
      <w:pPr>
        <w:rPr>
          <w:i/>
          <w:iCs/>
          <w:lang w:val="en-AU"/>
        </w:rPr>
      </w:pPr>
    </w:p>
    <w:p w14:paraId="1C45265A" w14:textId="2CA18A75" w:rsidR="00F1245D" w:rsidRDefault="00C87A98" w:rsidP="00CD3783">
      <w:pPr>
        <w:rPr>
          <w:lang w:val="en-AU"/>
        </w:rPr>
      </w:pPr>
      <w:r>
        <w:rPr>
          <w:i/>
          <w:iCs/>
          <w:lang w:val="en-AU"/>
        </w:rPr>
        <w:t>Insertion of</w:t>
      </w:r>
      <w:r w:rsidR="00A56B36">
        <w:rPr>
          <w:i/>
          <w:iCs/>
          <w:lang w:val="en-AU"/>
        </w:rPr>
        <w:t xml:space="preserve"> new rule </w:t>
      </w:r>
      <w:r>
        <w:rPr>
          <w:i/>
          <w:iCs/>
          <w:lang w:val="en-AU"/>
        </w:rPr>
        <w:t>28</w:t>
      </w:r>
      <w:r w:rsidR="00AE42A5">
        <w:rPr>
          <w:i/>
          <w:iCs/>
          <w:lang w:val="en-AU"/>
        </w:rPr>
        <w:t>A</w:t>
      </w:r>
      <w:r w:rsidR="00CD3783">
        <w:rPr>
          <w:i/>
          <w:iCs/>
          <w:lang w:val="en-AU"/>
        </w:rPr>
        <w:t xml:space="preserve">:  </w:t>
      </w:r>
      <w:r>
        <w:rPr>
          <w:lang w:val="en-AU"/>
        </w:rPr>
        <w:t xml:space="preserve">There are no existing provisions in the ARF Rules on disclosure of material interests (or broadly speaking conflicts of interest). </w:t>
      </w:r>
      <w:r w:rsidR="005E5937">
        <w:rPr>
          <w:lang w:val="en-AU"/>
        </w:rPr>
        <w:t xml:space="preserve"> A</w:t>
      </w:r>
      <w:r w:rsidR="00616FBB">
        <w:rPr>
          <w:lang w:val="en-AU"/>
        </w:rPr>
        <w:t xml:space="preserve">lthough the new statutory provisions </w:t>
      </w:r>
      <w:r w:rsidR="00E62C8A">
        <w:rPr>
          <w:lang w:val="en-AU"/>
        </w:rPr>
        <w:t xml:space="preserve">do not </w:t>
      </w:r>
      <w:r w:rsidR="00E62C8A" w:rsidRPr="00AE42A5">
        <w:rPr>
          <w:u w:val="single"/>
          <w:lang w:val="en-AU"/>
        </w:rPr>
        <w:t>require</w:t>
      </w:r>
      <w:r w:rsidR="00E62C8A">
        <w:rPr>
          <w:lang w:val="en-AU"/>
        </w:rPr>
        <w:t xml:space="preserve"> </w:t>
      </w:r>
      <w:r w:rsidR="00616FBB">
        <w:rPr>
          <w:lang w:val="en-AU"/>
        </w:rPr>
        <w:t xml:space="preserve">changes to </w:t>
      </w:r>
      <w:r w:rsidR="008B581A">
        <w:rPr>
          <w:lang w:val="en-AU"/>
        </w:rPr>
        <w:t xml:space="preserve">the </w:t>
      </w:r>
      <w:r w:rsidR="00616FBB">
        <w:rPr>
          <w:lang w:val="en-AU"/>
        </w:rPr>
        <w:t>Rules, there is real benefit to the proper functioning of an association’s committee in including a summary of the new statutory provisions in the Rules</w:t>
      </w:r>
      <w:r w:rsidR="005E5937">
        <w:rPr>
          <w:lang w:val="en-AU"/>
        </w:rPr>
        <w:t>,</w:t>
      </w:r>
      <w:r w:rsidR="00616FBB">
        <w:rPr>
          <w:lang w:val="en-AU"/>
        </w:rPr>
        <w:t xml:space="preserve"> as some other associations have done.  </w:t>
      </w:r>
      <w:r w:rsidR="00F92BE5">
        <w:rPr>
          <w:lang w:val="en-AU"/>
        </w:rPr>
        <w:t xml:space="preserve">The new statutory provisions have been brought to the attention of the </w:t>
      </w:r>
      <w:r w:rsidR="005E5937">
        <w:rPr>
          <w:lang w:val="en-AU"/>
        </w:rPr>
        <w:t>ARF</w:t>
      </w:r>
      <w:r w:rsidR="00F92BE5">
        <w:rPr>
          <w:lang w:val="en-AU"/>
        </w:rPr>
        <w:t xml:space="preserve"> Secretary.</w:t>
      </w:r>
    </w:p>
    <w:p w14:paraId="71E8C3F9" w14:textId="77777777" w:rsidR="00F92BE5" w:rsidRDefault="00F92BE5" w:rsidP="00CD3783">
      <w:pPr>
        <w:rPr>
          <w:lang w:val="en-AU"/>
        </w:rPr>
      </w:pPr>
    </w:p>
    <w:p w14:paraId="5B21BDB3" w14:textId="4D6A94A2" w:rsidR="00CD3783" w:rsidRDefault="00E747CC" w:rsidP="00CD3783">
      <w:pPr>
        <w:rPr>
          <w:lang w:val="en-AU"/>
        </w:rPr>
      </w:pPr>
      <w:r w:rsidRPr="000204D5">
        <w:rPr>
          <w:b/>
          <w:bCs/>
          <w:lang w:val="en-AU"/>
        </w:rPr>
        <w:t>Note</w:t>
      </w:r>
      <w:r>
        <w:rPr>
          <w:i/>
          <w:iCs/>
          <w:lang w:val="en-AU"/>
        </w:rPr>
        <w:t xml:space="preserve">: </w:t>
      </w:r>
      <w:r w:rsidR="00616FBB">
        <w:rPr>
          <w:lang w:val="en-AU"/>
        </w:rPr>
        <w:t>While there is no statutory definition of ‘material personal interest’</w:t>
      </w:r>
      <w:r w:rsidR="00F1245D">
        <w:rPr>
          <w:lang w:val="en-AU"/>
        </w:rPr>
        <w:t xml:space="preserve">, the courts and commentators agree that the essence of the concept is that ‘directors should disclose interests that have the capacity to influence the vote of the particular director upon the decision to be made’ (Rosemary Teele Langford, </w:t>
      </w:r>
      <w:r w:rsidR="00F1245D">
        <w:rPr>
          <w:i/>
          <w:iCs/>
          <w:lang w:val="en-AU"/>
        </w:rPr>
        <w:t>Company Directors’ Duties and Conflicts of Interest</w:t>
      </w:r>
      <w:r w:rsidR="00F1245D">
        <w:rPr>
          <w:lang w:val="en-AU"/>
        </w:rPr>
        <w:t xml:space="preserve">, 2019, page 212). The word ‘material’ indicates the interest </w:t>
      </w:r>
      <w:r w:rsidR="00A36796">
        <w:rPr>
          <w:lang w:val="en-AU"/>
        </w:rPr>
        <w:t>must</w:t>
      </w:r>
      <w:r w:rsidR="00F1245D">
        <w:rPr>
          <w:lang w:val="en-AU"/>
        </w:rPr>
        <w:t xml:space="preserve"> be of </w:t>
      </w:r>
      <w:r w:rsidR="00A36796">
        <w:rPr>
          <w:lang w:val="en-AU"/>
        </w:rPr>
        <w:t>‘</w:t>
      </w:r>
      <w:r w:rsidR="00F1245D">
        <w:rPr>
          <w:lang w:val="en-AU"/>
        </w:rPr>
        <w:t>a real or substantial kind’</w:t>
      </w:r>
      <w:r w:rsidR="00D13EE3">
        <w:rPr>
          <w:lang w:val="en-AU"/>
        </w:rPr>
        <w:t>.</w:t>
      </w:r>
    </w:p>
    <w:p w14:paraId="0AAB6811" w14:textId="373EDEFE" w:rsidR="00212710" w:rsidRPr="003450A7" w:rsidRDefault="00212710" w:rsidP="00150497">
      <w:pPr>
        <w:pStyle w:val="Sub-subparagraph"/>
        <w:keepNext/>
        <w:numPr>
          <w:ilvl w:val="0"/>
          <w:numId w:val="3"/>
        </w:numPr>
        <w:rPr>
          <w:rFonts w:asciiTheme="minorHAnsi" w:hAnsiTheme="minorHAnsi" w:cstheme="minorHAnsi"/>
          <w:b/>
          <w:bCs/>
          <w:sz w:val="24"/>
          <w:szCs w:val="24"/>
        </w:rPr>
      </w:pPr>
      <w:r w:rsidRPr="003450A7">
        <w:rPr>
          <w:rFonts w:asciiTheme="minorHAnsi" w:hAnsiTheme="minorHAnsi" w:cstheme="minorHAnsi"/>
          <w:b/>
          <w:bCs/>
          <w:sz w:val="24"/>
          <w:szCs w:val="24"/>
        </w:rPr>
        <w:t>Changes to the auditing requirements for small organisations</w:t>
      </w:r>
    </w:p>
    <w:p w14:paraId="6CC40E3E" w14:textId="6620AA56" w:rsidR="00212710" w:rsidRDefault="005E5937" w:rsidP="000204D5">
      <w:pPr>
        <w:pStyle w:val="Paragraph"/>
        <w:spacing w:before="0"/>
        <w:jc w:val="left"/>
        <w:rPr>
          <w:rFonts w:asciiTheme="minorHAnsi" w:hAnsiTheme="minorHAnsi" w:cstheme="minorHAnsi"/>
          <w:sz w:val="24"/>
        </w:rPr>
      </w:pPr>
      <w:r>
        <w:rPr>
          <w:rFonts w:asciiTheme="minorHAnsi" w:hAnsiTheme="minorHAnsi" w:cstheme="minorHAnsi"/>
          <w:sz w:val="24"/>
        </w:rPr>
        <w:t>T</w:t>
      </w:r>
      <w:r w:rsidR="0053798C">
        <w:rPr>
          <w:rFonts w:asciiTheme="minorHAnsi" w:hAnsiTheme="minorHAnsi" w:cstheme="minorHAnsi"/>
          <w:sz w:val="24"/>
        </w:rPr>
        <w:t>he Act has</w:t>
      </w:r>
      <w:r w:rsidR="00212710">
        <w:rPr>
          <w:rFonts w:asciiTheme="minorHAnsi" w:hAnsiTheme="minorHAnsi" w:cstheme="minorHAnsi"/>
          <w:sz w:val="24"/>
        </w:rPr>
        <w:t xml:space="preserve"> been amended so that only a professionally reviewed statement of accounts is required</w:t>
      </w:r>
      <w:r>
        <w:rPr>
          <w:rFonts w:asciiTheme="minorHAnsi" w:hAnsiTheme="minorHAnsi" w:cstheme="minorHAnsi"/>
          <w:sz w:val="24"/>
        </w:rPr>
        <w:t xml:space="preserve"> for small organisations with total annual revenue of less than $400,000 (see definition in new section 70B).</w:t>
      </w:r>
      <w:r w:rsidR="00AA2A73">
        <w:rPr>
          <w:rFonts w:asciiTheme="minorHAnsi" w:hAnsiTheme="minorHAnsi" w:cstheme="minorHAnsi"/>
          <w:sz w:val="24"/>
        </w:rPr>
        <w:t xml:space="preserve">  However, this provision does not apply to ARF as a </w:t>
      </w:r>
      <w:r w:rsidR="00AA2A73">
        <w:rPr>
          <w:rFonts w:asciiTheme="minorHAnsi" w:hAnsiTheme="minorHAnsi" w:cstheme="minorHAnsi"/>
          <w:sz w:val="24"/>
        </w:rPr>
        <w:lastRenderedPageBreak/>
        <w:t>registered charity with the ACNC, which has similar requirements.  Consideration will be given in the future to whether a specific provision should be introduced on this matter.</w:t>
      </w:r>
    </w:p>
    <w:p w14:paraId="3C44A03F" w14:textId="2FC466D5" w:rsidR="00D13EE3" w:rsidRDefault="00D13EE3" w:rsidP="00CD3783">
      <w:pPr>
        <w:rPr>
          <w:lang w:val="en-AU"/>
        </w:rPr>
      </w:pPr>
    </w:p>
    <w:p w14:paraId="1CA9B9F8" w14:textId="255730BD" w:rsidR="00D13EE3" w:rsidRPr="00D13EE3" w:rsidRDefault="00D13EE3" w:rsidP="00150497">
      <w:pPr>
        <w:pStyle w:val="ListParagraph"/>
        <w:keepNext/>
        <w:numPr>
          <w:ilvl w:val="0"/>
          <w:numId w:val="3"/>
        </w:numPr>
        <w:rPr>
          <w:b/>
          <w:bCs/>
          <w:lang w:val="en-AU"/>
        </w:rPr>
      </w:pPr>
      <w:r w:rsidRPr="00D13EE3">
        <w:rPr>
          <w:b/>
          <w:bCs/>
          <w:lang w:val="en-AU"/>
        </w:rPr>
        <w:t>Inspection of</w:t>
      </w:r>
      <w:r w:rsidR="00B53A24">
        <w:rPr>
          <w:b/>
          <w:bCs/>
          <w:lang w:val="en-AU"/>
        </w:rPr>
        <w:t xml:space="preserve"> records, books etc including</w:t>
      </w:r>
      <w:r w:rsidRPr="00D13EE3">
        <w:rPr>
          <w:b/>
          <w:bCs/>
          <w:lang w:val="en-AU"/>
        </w:rPr>
        <w:t xml:space="preserve"> the register of members</w:t>
      </w:r>
    </w:p>
    <w:p w14:paraId="25BF4853" w14:textId="6D6B378C" w:rsidR="00E62C8A" w:rsidRPr="00E62C8A" w:rsidRDefault="00246886" w:rsidP="00E62C8A">
      <w:pPr>
        <w:rPr>
          <w:lang w:val="en-AU"/>
        </w:rPr>
      </w:pPr>
      <w:r>
        <w:rPr>
          <w:lang w:val="en-AU"/>
        </w:rPr>
        <w:t>S</w:t>
      </w:r>
      <w:r w:rsidR="00E62C8A" w:rsidRPr="00E62C8A">
        <w:rPr>
          <w:lang w:val="en-AU"/>
        </w:rPr>
        <w:t>ub</w:t>
      </w:r>
      <w:r>
        <w:rPr>
          <w:lang w:val="en-AU"/>
        </w:rPr>
        <w:t>j</w:t>
      </w:r>
      <w:r w:rsidR="00E62C8A" w:rsidRPr="00E62C8A">
        <w:rPr>
          <w:lang w:val="en-AU"/>
        </w:rPr>
        <w:t>ect to the Act, the Regulation and the ARF Rules,</w:t>
      </w:r>
      <w:r>
        <w:rPr>
          <w:lang w:val="en-AU"/>
        </w:rPr>
        <w:t xml:space="preserve"> e</w:t>
      </w:r>
      <w:r w:rsidRPr="00E62C8A">
        <w:rPr>
          <w:lang w:val="en-AU"/>
        </w:rPr>
        <w:t>xisting</w:t>
      </w:r>
      <w:r w:rsidR="00AE42A5">
        <w:rPr>
          <w:lang w:val="en-AU"/>
        </w:rPr>
        <w:t xml:space="preserve"> misnumbered</w:t>
      </w:r>
      <w:r w:rsidRPr="00E62C8A">
        <w:rPr>
          <w:lang w:val="en-AU"/>
        </w:rPr>
        <w:t xml:space="preserve"> rule 44 (now </w:t>
      </w:r>
      <w:r w:rsidR="00AE42A5">
        <w:rPr>
          <w:lang w:val="en-AU"/>
        </w:rPr>
        <w:t>47</w:t>
      </w:r>
      <w:r w:rsidRPr="00E62C8A">
        <w:rPr>
          <w:lang w:val="en-AU"/>
        </w:rPr>
        <w:t xml:space="preserve">(1)) provides, </w:t>
      </w:r>
      <w:r w:rsidR="00E62C8A" w:rsidRPr="00E62C8A">
        <w:rPr>
          <w:lang w:val="en-AU"/>
        </w:rPr>
        <w:t xml:space="preserve"> for inspection by </w:t>
      </w:r>
      <w:r>
        <w:rPr>
          <w:lang w:val="en-AU"/>
        </w:rPr>
        <w:t>m</w:t>
      </w:r>
      <w:r w:rsidR="00E62C8A" w:rsidRPr="00E62C8A">
        <w:rPr>
          <w:lang w:val="en-AU"/>
        </w:rPr>
        <w:t>embers of the records, books and other documents of the association, while new subrule 4</w:t>
      </w:r>
      <w:r w:rsidR="00A6701F">
        <w:rPr>
          <w:lang w:val="en-AU"/>
        </w:rPr>
        <w:t>7</w:t>
      </w:r>
      <w:r w:rsidR="00E62C8A" w:rsidRPr="00E62C8A">
        <w:rPr>
          <w:lang w:val="en-AU"/>
        </w:rPr>
        <w:t xml:space="preserve">(2) provides for mandatory free of charge access to all the records, books and documents of the association by the ARF auditor or reviewer, the Public Officer or the Registrar. (And see item </w:t>
      </w:r>
      <w:r>
        <w:rPr>
          <w:lang w:val="en-AU"/>
        </w:rPr>
        <w:t>13</w:t>
      </w:r>
      <w:r w:rsidR="00E62C8A" w:rsidRPr="00E62C8A">
        <w:rPr>
          <w:lang w:val="en-AU"/>
        </w:rPr>
        <w:t xml:space="preserve"> below on section</w:t>
      </w:r>
      <w:r w:rsidR="00E62C8A">
        <w:rPr>
          <w:lang w:val="en-AU"/>
        </w:rPr>
        <w:t>s</w:t>
      </w:r>
      <w:r w:rsidR="00E62C8A" w:rsidRPr="00E62C8A">
        <w:rPr>
          <w:lang w:val="en-AU"/>
        </w:rPr>
        <w:t xml:space="preserve"> 35</w:t>
      </w:r>
      <w:r w:rsidR="00E62C8A">
        <w:rPr>
          <w:lang w:val="en-AU"/>
        </w:rPr>
        <w:t xml:space="preserve"> </w:t>
      </w:r>
      <w:r w:rsidR="00E62C8A" w:rsidRPr="00E62C8A">
        <w:rPr>
          <w:lang w:val="en-AU"/>
        </w:rPr>
        <w:t>as amended</w:t>
      </w:r>
      <w:r w:rsidR="00E62C8A">
        <w:rPr>
          <w:lang w:val="en-AU"/>
        </w:rPr>
        <w:t xml:space="preserve"> and 35A</w:t>
      </w:r>
      <w:r w:rsidR="00E62C8A" w:rsidRPr="00E62C8A">
        <w:rPr>
          <w:lang w:val="en-AU"/>
        </w:rPr>
        <w:t xml:space="preserve"> </w:t>
      </w:r>
      <w:r w:rsidR="00E62C8A">
        <w:rPr>
          <w:lang w:val="en-AU"/>
        </w:rPr>
        <w:t>concerning access</w:t>
      </w:r>
      <w:r w:rsidR="00E62C8A" w:rsidRPr="00E62C8A">
        <w:rPr>
          <w:lang w:val="en-AU"/>
        </w:rPr>
        <w:t>.)</w:t>
      </w:r>
    </w:p>
    <w:p w14:paraId="105A8439" w14:textId="77777777" w:rsidR="00E62C8A" w:rsidRDefault="00E62C8A" w:rsidP="00D13EE3">
      <w:pPr>
        <w:rPr>
          <w:lang w:val="en-AU"/>
        </w:rPr>
      </w:pPr>
    </w:p>
    <w:p w14:paraId="61763D0C" w14:textId="178762C6" w:rsidR="00B53A24" w:rsidRDefault="00B179D9" w:rsidP="00D13EE3">
      <w:pPr>
        <w:rPr>
          <w:lang w:val="en-AU"/>
        </w:rPr>
      </w:pPr>
      <w:r>
        <w:rPr>
          <w:lang w:val="en-AU"/>
        </w:rPr>
        <w:t xml:space="preserve">New rule </w:t>
      </w:r>
      <w:r w:rsidR="00A6701F">
        <w:rPr>
          <w:lang w:val="en-AU"/>
        </w:rPr>
        <w:t>7</w:t>
      </w:r>
      <w:r>
        <w:rPr>
          <w:lang w:val="en-AU"/>
        </w:rPr>
        <w:t>(6) provides that the ARF must keep and maintain a register of its members which includes particulars required by the Act, the Regulation or an association’s Rules (reflecting section 67 of the Act).</w:t>
      </w:r>
    </w:p>
    <w:p w14:paraId="3CA1C996" w14:textId="77777777" w:rsidR="00E62C8A" w:rsidRDefault="00E62C8A" w:rsidP="00D13EE3">
      <w:pPr>
        <w:rPr>
          <w:lang w:val="en-AU"/>
        </w:rPr>
      </w:pPr>
    </w:p>
    <w:p w14:paraId="4FD24D10" w14:textId="2778D350" w:rsidR="0092701B" w:rsidRDefault="00F92BE5" w:rsidP="00D13EE3">
      <w:pPr>
        <w:rPr>
          <w:lang w:val="en-AU"/>
        </w:rPr>
      </w:pPr>
      <w:r>
        <w:rPr>
          <w:lang w:val="en-AU"/>
        </w:rPr>
        <w:t>N</w:t>
      </w:r>
      <w:r w:rsidR="00D13EE3" w:rsidRPr="00D13EE3">
        <w:rPr>
          <w:lang w:val="en-AU"/>
        </w:rPr>
        <w:t>ew sections 67A and 67B of the Ac</w:t>
      </w:r>
      <w:r w:rsidR="00AC3F25">
        <w:rPr>
          <w:lang w:val="en-AU"/>
        </w:rPr>
        <w:t>t</w:t>
      </w:r>
      <w:r w:rsidR="00D13EE3" w:rsidRPr="00D13EE3">
        <w:rPr>
          <w:lang w:val="en-AU"/>
        </w:rPr>
        <w:t>) provid</w:t>
      </w:r>
      <w:r>
        <w:rPr>
          <w:lang w:val="en-AU"/>
        </w:rPr>
        <w:t>e</w:t>
      </w:r>
      <w:r w:rsidR="00D13EE3" w:rsidRPr="00D13EE3">
        <w:rPr>
          <w:lang w:val="en-AU"/>
        </w:rPr>
        <w:t xml:space="preserve"> that a </w:t>
      </w:r>
      <w:r w:rsidR="000C623A">
        <w:rPr>
          <w:lang w:val="en-AU"/>
        </w:rPr>
        <w:t>M</w:t>
      </w:r>
      <w:r w:rsidR="00D13EE3" w:rsidRPr="00D13EE3">
        <w:rPr>
          <w:lang w:val="en-AU"/>
        </w:rPr>
        <w:t xml:space="preserve">ember may apply to </w:t>
      </w:r>
      <w:r w:rsidR="00D13EE3" w:rsidRPr="00D13EE3">
        <w:rPr>
          <w:b/>
          <w:bCs/>
          <w:lang w:val="en-AU"/>
        </w:rPr>
        <w:t>inspect the register of members,</w:t>
      </w:r>
      <w:r w:rsidR="00D13EE3" w:rsidRPr="00D13EE3">
        <w:rPr>
          <w:lang w:val="en-AU"/>
        </w:rPr>
        <w:t xml:space="preserve"> </w:t>
      </w:r>
      <w:r w:rsidR="00D13EE3" w:rsidRPr="008A46FB">
        <w:rPr>
          <w:lang w:val="en-AU"/>
        </w:rPr>
        <w:t xml:space="preserve">subject to </w:t>
      </w:r>
      <w:r w:rsidR="008A46FB" w:rsidRPr="008A46FB">
        <w:rPr>
          <w:b/>
          <w:bCs/>
          <w:lang w:val="en-AU"/>
        </w:rPr>
        <w:t>mandatory</w:t>
      </w:r>
      <w:r w:rsidR="008A46FB" w:rsidRPr="008A46FB">
        <w:rPr>
          <w:lang w:val="en-AU"/>
        </w:rPr>
        <w:t xml:space="preserve"> </w:t>
      </w:r>
      <w:r w:rsidR="00D13EE3" w:rsidRPr="008A46FB">
        <w:rPr>
          <w:lang w:val="en-AU"/>
        </w:rPr>
        <w:t>refusal of access to personal information</w:t>
      </w:r>
      <w:r w:rsidR="00D13EE3" w:rsidRPr="00D13EE3">
        <w:rPr>
          <w:lang w:val="en-AU"/>
        </w:rPr>
        <w:t xml:space="preserve"> that a </w:t>
      </w:r>
      <w:r w:rsidR="000C623A">
        <w:rPr>
          <w:lang w:val="en-AU"/>
        </w:rPr>
        <w:t>M</w:t>
      </w:r>
      <w:r w:rsidR="00D13EE3" w:rsidRPr="00D13EE3">
        <w:rPr>
          <w:lang w:val="en-AU"/>
        </w:rPr>
        <w:t>ember has successfully requested</w:t>
      </w:r>
      <w:r w:rsidR="00027A6A">
        <w:rPr>
          <w:lang w:val="en-AU"/>
        </w:rPr>
        <w:t xml:space="preserve"> the Committee</w:t>
      </w:r>
      <w:r w:rsidR="00D13EE3" w:rsidRPr="00D13EE3">
        <w:rPr>
          <w:lang w:val="en-AU"/>
        </w:rPr>
        <w:t xml:space="preserve"> should be restricted</w:t>
      </w:r>
      <w:r w:rsidR="00246886">
        <w:rPr>
          <w:lang w:val="en-AU"/>
        </w:rPr>
        <w:t xml:space="preserve"> on the ground of ‘special circumstances’</w:t>
      </w:r>
      <w:r w:rsidR="0092701B">
        <w:rPr>
          <w:lang w:val="en-AU"/>
        </w:rPr>
        <w:t xml:space="preserve"> (section 67B)</w:t>
      </w:r>
      <w:r w:rsidR="00D13EE3" w:rsidRPr="00D13EE3">
        <w:rPr>
          <w:lang w:val="en-AU"/>
        </w:rPr>
        <w:t>, or</w:t>
      </w:r>
      <w:r>
        <w:rPr>
          <w:lang w:val="en-AU"/>
        </w:rPr>
        <w:t xml:space="preserve"> a </w:t>
      </w:r>
      <w:r w:rsidRPr="008A46FB">
        <w:rPr>
          <w:b/>
          <w:bCs/>
          <w:lang w:val="en-AU"/>
        </w:rPr>
        <w:t>discretion</w:t>
      </w:r>
      <w:r>
        <w:rPr>
          <w:lang w:val="en-AU"/>
        </w:rPr>
        <w:t xml:space="preserve"> to refuse</w:t>
      </w:r>
      <w:r w:rsidR="0092701B">
        <w:rPr>
          <w:lang w:val="en-AU"/>
        </w:rPr>
        <w:t xml:space="preserve"> access</w:t>
      </w:r>
      <w:r w:rsidR="00D13EE3" w:rsidRPr="00D13EE3">
        <w:rPr>
          <w:lang w:val="en-AU"/>
        </w:rPr>
        <w:t xml:space="preserve"> in certain other circumstances (use of information for a purpose not directly related to management or purposes of association</w:t>
      </w:r>
      <w:r w:rsidR="00D13EE3">
        <w:rPr>
          <w:lang w:val="en-AU"/>
        </w:rPr>
        <w:t>,</w:t>
      </w:r>
      <w:r w:rsidR="00D13EE3" w:rsidRPr="00D13EE3">
        <w:rPr>
          <w:lang w:val="en-AU"/>
        </w:rPr>
        <w:t xml:space="preserve"> or a purpose that is prohibited by the association’s </w:t>
      </w:r>
      <w:r w:rsidR="00D13EE3">
        <w:rPr>
          <w:lang w:val="en-AU"/>
        </w:rPr>
        <w:t>R</w:t>
      </w:r>
      <w:r w:rsidR="00D13EE3" w:rsidRPr="00D13EE3">
        <w:rPr>
          <w:lang w:val="en-AU"/>
        </w:rPr>
        <w:t>ule</w:t>
      </w:r>
      <w:r w:rsidR="00D13EE3">
        <w:rPr>
          <w:lang w:val="en-AU"/>
        </w:rPr>
        <w:t>s</w:t>
      </w:r>
      <w:r w:rsidR="00D13EE3" w:rsidRPr="00D13EE3">
        <w:rPr>
          <w:lang w:val="en-AU"/>
        </w:rPr>
        <w:t>, or an improper purpose</w:t>
      </w:r>
      <w:r w:rsidR="0092701B">
        <w:rPr>
          <w:lang w:val="en-AU"/>
        </w:rPr>
        <w:t>) (section 67A</w:t>
      </w:r>
      <w:r w:rsidR="00462238">
        <w:rPr>
          <w:lang w:val="en-AU"/>
        </w:rPr>
        <w:t>(3)(b)</w:t>
      </w:r>
      <w:r w:rsidR="0092701B">
        <w:rPr>
          <w:lang w:val="en-AU"/>
        </w:rPr>
        <w:t>)</w:t>
      </w:r>
      <w:r w:rsidR="00D13EE3" w:rsidRPr="00D13EE3">
        <w:rPr>
          <w:lang w:val="en-AU"/>
        </w:rPr>
        <w:t xml:space="preserve">. </w:t>
      </w:r>
      <w:r w:rsidR="008A46FB">
        <w:rPr>
          <w:lang w:val="en-AU"/>
        </w:rPr>
        <w:t xml:space="preserve"> </w:t>
      </w:r>
      <w:r w:rsidR="00341DAA">
        <w:rPr>
          <w:lang w:val="en-AU"/>
        </w:rPr>
        <w:t>Access in those circumstances could normally be expected to be refused.</w:t>
      </w:r>
    </w:p>
    <w:p w14:paraId="0F38EB96" w14:textId="15B28242" w:rsidR="0092701B" w:rsidRDefault="0092701B" w:rsidP="00D13EE3">
      <w:pPr>
        <w:rPr>
          <w:lang w:val="en-AU"/>
        </w:rPr>
      </w:pPr>
    </w:p>
    <w:p w14:paraId="7C3BCA41" w14:textId="353E60AB" w:rsidR="0092701B" w:rsidRPr="00534606" w:rsidRDefault="0092701B" w:rsidP="00D13EE3">
      <w:pPr>
        <w:rPr>
          <w:b/>
          <w:bCs/>
          <w:iCs/>
          <w:lang w:val="en-AU"/>
        </w:rPr>
      </w:pPr>
      <w:r w:rsidRPr="00D13EE3">
        <w:rPr>
          <w:lang w:val="en-AU"/>
        </w:rPr>
        <w:t>There is provision</w:t>
      </w:r>
      <w:r w:rsidR="00404D22">
        <w:rPr>
          <w:lang w:val="en-AU"/>
        </w:rPr>
        <w:t xml:space="preserve"> in the Act (section 67A(5))</w:t>
      </w:r>
      <w:r w:rsidRPr="00D13EE3">
        <w:rPr>
          <w:lang w:val="en-AU"/>
        </w:rPr>
        <w:t xml:space="preserve"> for making regulations for how to deal with requests</w:t>
      </w:r>
      <w:r>
        <w:rPr>
          <w:lang w:val="en-AU"/>
        </w:rPr>
        <w:t xml:space="preserve"> to inspect the register of Members</w:t>
      </w:r>
      <w:r w:rsidRPr="00D13EE3">
        <w:rPr>
          <w:lang w:val="en-AU"/>
        </w:rPr>
        <w:t>, but none seems to have been made.</w:t>
      </w:r>
    </w:p>
    <w:p w14:paraId="472C0AC2" w14:textId="7FA596C7" w:rsidR="0092701B" w:rsidRDefault="0092701B" w:rsidP="00D13EE3">
      <w:pPr>
        <w:rPr>
          <w:b/>
          <w:bCs/>
          <w:lang w:val="en-AU"/>
        </w:rPr>
      </w:pPr>
    </w:p>
    <w:p w14:paraId="7FB74AB2" w14:textId="68869C76" w:rsidR="00534606" w:rsidRDefault="0092701B" w:rsidP="0092701B">
      <w:pPr>
        <w:rPr>
          <w:lang w:val="en-AU"/>
        </w:rPr>
      </w:pPr>
      <w:r w:rsidRPr="0092701B">
        <w:rPr>
          <w:i/>
          <w:iCs/>
          <w:lang w:val="en-AU"/>
        </w:rPr>
        <w:t xml:space="preserve">Changes to </w:t>
      </w:r>
      <w:r w:rsidR="002F389D">
        <w:rPr>
          <w:i/>
          <w:iCs/>
          <w:lang w:val="en-AU"/>
        </w:rPr>
        <w:t>ARF</w:t>
      </w:r>
      <w:r w:rsidRPr="0092701B">
        <w:rPr>
          <w:i/>
          <w:iCs/>
          <w:lang w:val="en-AU"/>
        </w:rPr>
        <w:t xml:space="preserve"> Rules, rule </w:t>
      </w:r>
      <w:r w:rsidR="00AD68C3">
        <w:rPr>
          <w:i/>
          <w:iCs/>
          <w:lang w:val="en-AU"/>
        </w:rPr>
        <w:t>47</w:t>
      </w:r>
      <w:r w:rsidRPr="0092701B">
        <w:rPr>
          <w:lang w:val="en-AU"/>
        </w:rPr>
        <w:t xml:space="preserve">: </w:t>
      </w:r>
      <w:r>
        <w:rPr>
          <w:lang w:val="en-AU"/>
        </w:rPr>
        <w:t xml:space="preserve"> </w:t>
      </w:r>
      <w:r w:rsidR="00745478">
        <w:rPr>
          <w:lang w:val="en-AU"/>
        </w:rPr>
        <w:t>N</w:t>
      </w:r>
      <w:r w:rsidR="000C623A">
        <w:rPr>
          <w:lang w:val="en-AU"/>
        </w:rPr>
        <w:t xml:space="preserve">ew subrule </w:t>
      </w:r>
      <w:r w:rsidR="00AD68C3">
        <w:rPr>
          <w:lang w:val="en-AU"/>
        </w:rPr>
        <w:t>47</w:t>
      </w:r>
      <w:r w:rsidR="002F389D">
        <w:rPr>
          <w:lang w:val="en-AU"/>
        </w:rPr>
        <w:t>(3)</w:t>
      </w:r>
      <w:r w:rsidR="00745478" w:rsidRPr="0092701B">
        <w:rPr>
          <w:lang w:val="en-AU"/>
        </w:rPr>
        <w:t xml:space="preserve"> </w:t>
      </w:r>
      <w:r w:rsidR="000C623A">
        <w:rPr>
          <w:lang w:val="en-AU"/>
        </w:rPr>
        <w:t>do</w:t>
      </w:r>
      <w:r w:rsidR="002F389D">
        <w:rPr>
          <w:lang w:val="en-AU"/>
        </w:rPr>
        <w:t>es</w:t>
      </w:r>
      <w:r w:rsidR="000C623A">
        <w:rPr>
          <w:lang w:val="en-AU"/>
        </w:rPr>
        <w:t xml:space="preserve"> not reproduce the</w:t>
      </w:r>
      <w:r w:rsidR="00745478">
        <w:rPr>
          <w:lang w:val="en-AU"/>
        </w:rPr>
        <w:t xml:space="preserve"> applicable</w:t>
      </w:r>
      <w:r w:rsidR="000C623A">
        <w:rPr>
          <w:lang w:val="en-AU"/>
        </w:rPr>
        <w:t xml:space="preserve"> provisions of sections 67A and 67B</w:t>
      </w:r>
      <w:r w:rsidR="00745478">
        <w:rPr>
          <w:lang w:val="en-AU"/>
        </w:rPr>
        <w:t xml:space="preserve"> of the Act, but simply refer</w:t>
      </w:r>
      <w:r w:rsidR="002F389D">
        <w:rPr>
          <w:lang w:val="en-AU"/>
        </w:rPr>
        <w:t>s</w:t>
      </w:r>
      <w:r w:rsidR="00745478">
        <w:rPr>
          <w:lang w:val="en-AU"/>
        </w:rPr>
        <w:t xml:space="preserve"> to the access provisions of section 67A which</w:t>
      </w:r>
      <w:r>
        <w:rPr>
          <w:lang w:val="en-AU"/>
        </w:rPr>
        <w:t xml:space="preserve"> also</w:t>
      </w:r>
      <w:r w:rsidR="00745478">
        <w:rPr>
          <w:lang w:val="en-AU"/>
        </w:rPr>
        <w:t xml:space="preserve"> incorporate exclusions from access provided for in section 67B</w:t>
      </w:r>
      <w:r w:rsidR="000C623A">
        <w:rPr>
          <w:lang w:val="en-AU"/>
        </w:rPr>
        <w:t>.</w:t>
      </w:r>
    </w:p>
    <w:p w14:paraId="28912482" w14:textId="77777777" w:rsidR="00534606" w:rsidRDefault="00534606" w:rsidP="0092701B">
      <w:pPr>
        <w:rPr>
          <w:lang w:val="en-AU"/>
        </w:rPr>
      </w:pPr>
    </w:p>
    <w:p w14:paraId="649D3BE7" w14:textId="115279CD" w:rsidR="000C623A" w:rsidRPr="0092701B" w:rsidRDefault="00534606" w:rsidP="0092701B">
      <w:pPr>
        <w:rPr>
          <w:lang w:val="en-AU"/>
        </w:rPr>
      </w:pPr>
      <w:r>
        <w:rPr>
          <w:lang w:val="en-AU"/>
        </w:rPr>
        <w:t xml:space="preserve">Note that the association may make rules relating to access to its documents (see Item </w:t>
      </w:r>
      <w:r w:rsidR="00AD68C3">
        <w:rPr>
          <w:lang w:val="en-AU"/>
        </w:rPr>
        <w:t>13</w:t>
      </w:r>
      <w:r>
        <w:rPr>
          <w:lang w:val="en-AU"/>
        </w:rPr>
        <w:t xml:space="preserve"> below on section 35), including</w:t>
      </w:r>
      <w:r w:rsidR="00404D22">
        <w:rPr>
          <w:lang w:val="en-AU"/>
        </w:rPr>
        <w:t xml:space="preserve"> a rule</w:t>
      </w:r>
      <w:r>
        <w:rPr>
          <w:lang w:val="en-AU"/>
        </w:rPr>
        <w:t xml:space="preserve"> </w:t>
      </w:r>
      <w:r>
        <w:rPr>
          <w:rFonts w:cstheme="minorHAnsi"/>
        </w:rPr>
        <w:t xml:space="preserve">requiring </w:t>
      </w:r>
      <w:r w:rsidR="00AC3F25">
        <w:rPr>
          <w:rFonts w:cstheme="minorHAnsi"/>
        </w:rPr>
        <w:t>a</w:t>
      </w:r>
      <w:r>
        <w:rPr>
          <w:rFonts w:cstheme="minorHAnsi"/>
        </w:rPr>
        <w:t xml:space="preserve"> requesting member to ‘state the purpose for requiring access to the document’ (section 35A(2).  The Committee may wish to consider making rules in this area, but none have been suggested at this stage.</w:t>
      </w:r>
    </w:p>
    <w:p w14:paraId="6B8F7421" w14:textId="77777777" w:rsidR="00F90227" w:rsidRDefault="00F90227" w:rsidP="00363058">
      <w:pPr>
        <w:pStyle w:val="Paragraph"/>
        <w:spacing w:before="0"/>
        <w:rPr>
          <w:rFonts w:asciiTheme="minorHAnsi" w:hAnsiTheme="minorHAnsi" w:cstheme="minorHAnsi"/>
          <w:sz w:val="24"/>
        </w:rPr>
      </w:pPr>
    </w:p>
    <w:p w14:paraId="5630DA60" w14:textId="0381E90E" w:rsidR="00912BEB" w:rsidRPr="00214EB5" w:rsidRDefault="00335476" w:rsidP="00150497">
      <w:pPr>
        <w:pStyle w:val="ListParagraph"/>
        <w:numPr>
          <w:ilvl w:val="0"/>
          <w:numId w:val="3"/>
        </w:numPr>
        <w:rPr>
          <w:rFonts w:cstheme="minorHAnsi"/>
          <w:b/>
          <w:bCs/>
        </w:rPr>
      </w:pPr>
      <w:r>
        <w:rPr>
          <w:rFonts w:cstheme="minorHAnsi"/>
          <w:b/>
          <w:bCs/>
        </w:rPr>
        <w:t>Provisions relating to use of the common seal or alternatives to its use</w:t>
      </w:r>
    </w:p>
    <w:p w14:paraId="20C44A86" w14:textId="77777777" w:rsidR="00335476" w:rsidRDefault="00912BEB" w:rsidP="00912BEB">
      <w:pPr>
        <w:rPr>
          <w:rFonts w:cstheme="minorHAnsi"/>
        </w:rPr>
      </w:pPr>
      <w:r>
        <w:rPr>
          <w:rFonts w:cstheme="minorHAnsi"/>
        </w:rPr>
        <w:t xml:space="preserve">Some small but important changes have been made to section 55 of the Act, which has been amended to provide not only that (a) the public officer or secretary if any can by signature authenticate a document without using the common seal, but also (b) that an incorporated association may execute a document without using a common seal  if the document is signed by two committee members, and (c) an incorporated association may, by signature of two committee members, empower a person as its agent or attorney, either generally or in relation to a stated matter, to execute deeds on its behalf, and that (d) a deed signed by the agent or attorney on behalf of the association binds the association (see new subsections 55(2), (2A) and (2B) – the other provisions remain the same).  </w:t>
      </w:r>
    </w:p>
    <w:p w14:paraId="3184EE83" w14:textId="77777777" w:rsidR="00335476" w:rsidRDefault="00335476" w:rsidP="00912BEB">
      <w:pPr>
        <w:rPr>
          <w:rFonts w:cstheme="minorHAnsi"/>
        </w:rPr>
      </w:pPr>
    </w:p>
    <w:p w14:paraId="3CB711C0" w14:textId="76F7CB94" w:rsidR="00912BEB" w:rsidRDefault="00335476" w:rsidP="00912BEB">
      <w:pPr>
        <w:rPr>
          <w:rFonts w:cstheme="minorHAnsi"/>
        </w:rPr>
      </w:pPr>
      <w:r>
        <w:rPr>
          <w:rFonts w:cstheme="minorHAnsi"/>
          <w:i/>
          <w:iCs/>
        </w:rPr>
        <w:lastRenderedPageBreak/>
        <w:t xml:space="preserve">Addition of a Note to </w:t>
      </w:r>
      <w:r w:rsidR="000E223B">
        <w:rPr>
          <w:rFonts w:cstheme="minorHAnsi"/>
          <w:i/>
          <w:iCs/>
        </w:rPr>
        <w:t>ARF</w:t>
      </w:r>
      <w:r>
        <w:rPr>
          <w:rFonts w:cstheme="minorHAnsi"/>
          <w:i/>
          <w:iCs/>
        </w:rPr>
        <w:t xml:space="preserve"> rule </w:t>
      </w:r>
      <w:r w:rsidR="00AD68C3">
        <w:rPr>
          <w:rFonts w:cstheme="minorHAnsi"/>
          <w:i/>
          <w:iCs/>
        </w:rPr>
        <w:t>45</w:t>
      </w:r>
      <w:r>
        <w:rPr>
          <w:rFonts w:cstheme="minorHAnsi"/>
          <w:i/>
          <w:iCs/>
        </w:rPr>
        <w:t>:</w:t>
      </w:r>
      <w:r>
        <w:rPr>
          <w:rFonts w:cstheme="minorHAnsi"/>
        </w:rPr>
        <w:t xml:space="preserve">  </w:t>
      </w:r>
      <w:r w:rsidR="00912BEB">
        <w:rPr>
          <w:rFonts w:cstheme="minorHAnsi"/>
        </w:rPr>
        <w:t xml:space="preserve">A Note to </w:t>
      </w:r>
      <w:r w:rsidR="000E223B">
        <w:rPr>
          <w:rFonts w:cstheme="minorHAnsi"/>
        </w:rPr>
        <w:t>ARF</w:t>
      </w:r>
      <w:r w:rsidR="00912BEB">
        <w:rPr>
          <w:rFonts w:cstheme="minorHAnsi"/>
        </w:rPr>
        <w:t xml:space="preserve"> rule </w:t>
      </w:r>
      <w:r w:rsidR="00AD68C3">
        <w:rPr>
          <w:rFonts w:cstheme="minorHAnsi"/>
        </w:rPr>
        <w:t>45 (currently misnumbered as rule 42)</w:t>
      </w:r>
      <w:r w:rsidR="00912BEB">
        <w:rPr>
          <w:rFonts w:cstheme="minorHAnsi"/>
        </w:rPr>
        <w:t xml:space="preserve">, </w:t>
      </w:r>
      <w:r w:rsidR="008A1AAD">
        <w:rPr>
          <w:rFonts w:cstheme="minorHAnsi"/>
        </w:rPr>
        <w:t>‘</w:t>
      </w:r>
      <w:r w:rsidR="00912BEB">
        <w:rPr>
          <w:rFonts w:cstheme="minorHAnsi"/>
        </w:rPr>
        <w:t>Common Seal</w:t>
      </w:r>
      <w:r w:rsidR="008A1AAD">
        <w:rPr>
          <w:rFonts w:cstheme="minorHAnsi"/>
        </w:rPr>
        <w:t>’</w:t>
      </w:r>
      <w:r w:rsidR="00912BEB">
        <w:rPr>
          <w:rFonts w:cstheme="minorHAnsi"/>
        </w:rPr>
        <w:t>, refers to the provisions of section 55</w:t>
      </w:r>
      <w:r w:rsidR="000012CA">
        <w:rPr>
          <w:rFonts w:cstheme="minorHAnsi"/>
        </w:rPr>
        <w:t xml:space="preserve"> providing an alternative to use of the common seal</w:t>
      </w:r>
      <w:r w:rsidR="00912BEB">
        <w:rPr>
          <w:rFonts w:cstheme="minorHAnsi"/>
        </w:rPr>
        <w:t xml:space="preserve">, so that </w:t>
      </w:r>
      <w:r w:rsidR="00604433">
        <w:rPr>
          <w:rFonts w:cstheme="minorHAnsi"/>
        </w:rPr>
        <w:t>C</w:t>
      </w:r>
      <w:r w:rsidR="00912BEB">
        <w:rPr>
          <w:rFonts w:cstheme="minorHAnsi"/>
        </w:rPr>
        <w:t xml:space="preserve">ommittee </w:t>
      </w:r>
      <w:r w:rsidR="00604433">
        <w:rPr>
          <w:rFonts w:cstheme="minorHAnsi"/>
        </w:rPr>
        <w:t>M</w:t>
      </w:r>
      <w:r w:rsidR="00912BEB">
        <w:rPr>
          <w:rFonts w:cstheme="minorHAnsi"/>
        </w:rPr>
        <w:t>embers</w:t>
      </w:r>
      <w:r w:rsidR="00604433">
        <w:rPr>
          <w:rFonts w:cstheme="minorHAnsi"/>
        </w:rPr>
        <w:t xml:space="preserve"> and </w:t>
      </w:r>
      <w:r w:rsidR="008A1AAD">
        <w:rPr>
          <w:rFonts w:cstheme="minorHAnsi"/>
        </w:rPr>
        <w:t>others</w:t>
      </w:r>
      <w:r w:rsidR="00912BEB">
        <w:rPr>
          <w:rFonts w:cstheme="minorHAnsi"/>
        </w:rPr>
        <w:t xml:space="preserve"> are aware of their existence. </w:t>
      </w:r>
    </w:p>
    <w:p w14:paraId="3E248F34" w14:textId="77777777" w:rsidR="004E6055" w:rsidRDefault="004E6055" w:rsidP="00912BEB">
      <w:pPr>
        <w:rPr>
          <w:rFonts w:cstheme="minorHAnsi"/>
        </w:rPr>
      </w:pPr>
    </w:p>
    <w:p w14:paraId="6CEB69CC" w14:textId="529C9C86" w:rsidR="00C15B1C" w:rsidRDefault="00027A6A" w:rsidP="00150497">
      <w:pPr>
        <w:pStyle w:val="ListParagraph"/>
        <w:numPr>
          <w:ilvl w:val="0"/>
          <w:numId w:val="3"/>
        </w:numPr>
        <w:rPr>
          <w:rFonts w:cstheme="minorHAnsi"/>
          <w:b/>
          <w:bCs/>
        </w:rPr>
      </w:pPr>
      <w:r>
        <w:rPr>
          <w:rFonts w:cstheme="minorHAnsi"/>
          <w:b/>
          <w:bCs/>
        </w:rPr>
        <w:t>‘</w:t>
      </w:r>
      <w:r w:rsidR="00C15B1C">
        <w:rPr>
          <w:rFonts w:cstheme="minorHAnsi"/>
          <w:b/>
          <w:bCs/>
        </w:rPr>
        <w:t>Remote</w:t>
      </w:r>
      <w:r>
        <w:rPr>
          <w:rFonts w:cstheme="minorHAnsi"/>
          <w:b/>
          <w:bCs/>
        </w:rPr>
        <w:t>’</w:t>
      </w:r>
      <w:r w:rsidR="00C15B1C">
        <w:rPr>
          <w:rFonts w:cstheme="minorHAnsi"/>
          <w:b/>
          <w:bCs/>
        </w:rPr>
        <w:t xml:space="preserve"> </w:t>
      </w:r>
      <w:r w:rsidR="00CF4E31">
        <w:rPr>
          <w:rFonts w:cstheme="minorHAnsi"/>
          <w:b/>
          <w:bCs/>
        </w:rPr>
        <w:t xml:space="preserve">general </w:t>
      </w:r>
      <w:r w:rsidR="00C15B1C">
        <w:rPr>
          <w:rFonts w:cstheme="minorHAnsi"/>
          <w:b/>
          <w:bCs/>
        </w:rPr>
        <w:t>meetings</w:t>
      </w:r>
      <w:r w:rsidR="00CF4E31">
        <w:rPr>
          <w:rFonts w:cstheme="minorHAnsi"/>
          <w:b/>
          <w:bCs/>
        </w:rPr>
        <w:t xml:space="preserve"> and committee meetings conducted</w:t>
      </w:r>
      <w:r w:rsidR="00C15B1C">
        <w:rPr>
          <w:rFonts w:cstheme="minorHAnsi"/>
          <w:b/>
          <w:bCs/>
        </w:rPr>
        <w:t xml:space="preserve"> by technological means</w:t>
      </w:r>
    </w:p>
    <w:p w14:paraId="5F55CA87" w14:textId="1778B110" w:rsidR="00F430C1" w:rsidRPr="000204D5" w:rsidRDefault="00CF4E31" w:rsidP="000204D5">
      <w:pPr>
        <w:rPr>
          <w:rFonts w:cstheme="minorHAnsi"/>
        </w:rPr>
      </w:pPr>
      <w:r w:rsidRPr="000204D5">
        <w:rPr>
          <w:rFonts w:cstheme="minorHAnsi"/>
        </w:rPr>
        <w:t>In April</w:t>
      </w:r>
      <w:r w:rsidR="00F430C1" w:rsidRPr="000204D5">
        <w:rPr>
          <w:rFonts w:cstheme="minorHAnsi"/>
        </w:rPr>
        <w:t xml:space="preserve"> 2020</w:t>
      </w:r>
      <w:r w:rsidRPr="000204D5">
        <w:rPr>
          <w:rFonts w:cstheme="minorHAnsi"/>
        </w:rPr>
        <w:t xml:space="preserve"> the ACT Legislative Assembly passed COVID-19 emergency legislation which included empowering committees of associations during the emergency to authorise holding general meetings, including Annual General Meetings, by using technological means that enable association members to take part</w:t>
      </w:r>
      <w:r w:rsidR="00027A6A" w:rsidRPr="000204D5">
        <w:rPr>
          <w:rFonts w:cstheme="minorHAnsi"/>
        </w:rPr>
        <w:t xml:space="preserve"> in such meetings</w:t>
      </w:r>
      <w:r w:rsidRPr="000204D5">
        <w:rPr>
          <w:rFonts w:cstheme="minorHAnsi"/>
        </w:rPr>
        <w:t>, in particular by hearing or otherwise knowing what other participant members are saying without the</w:t>
      </w:r>
      <w:r w:rsidR="00F430C1" w:rsidRPr="000204D5">
        <w:rPr>
          <w:rFonts w:cstheme="minorHAnsi"/>
        </w:rPr>
        <w:t xml:space="preserve"> members being in each other’s presence.  The legislation is to expire in 12 months from commencement.</w:t>
      </w:r>
    </w:p>
    <w:p w14:paraId="46498688" w14:textId="77777777" w:rsidR="00F430C1" w:rsidRPr="000204D5" w:rsidRDefault="00F430C1" w:rsidP="000204D5">
      <w:pPr>
        <w:rPr>
          <w:rFonts w:cstheme="minorHAnsi"/>
        </w:rPr>
      </w:pPr>
    </w:p>
    <w:p w14:paraId="563A5097" w14:textId="32E2E061" w:rsidR="00F430C1" w:rsidRDefault="00F430C1" w:rsidP="000204D5">
      <w:pPr>
        <w:rPr>
          <w:rFonts w:cstheme="minorHAnsi"/>
        </w:rPr>
      </w:pPr>
      <w:r w:rsidRPr="000204D5">
        <w:rPr>
          <w:rFonts w:cstheme="minorHAnsi"/>
        </w:rPr>
        <w:t xml:space="preserve">Drawing on several different models, new rules </w:t>
      </w:r>
      <w:r w:rsidR="003A6107">
        <w:rPr>
          <w:rFonts w:cstheme="minorHAnsi"/>
        </w:rPr>
        <w:t>26A</w:t>
      </w:r>
      <w:r w:rsidRPr="000204D5">
        <w:rPr>
          <w:rFonts w:cstheme="minorHAnsi"/>
        </w:rPr>
        <w:t xml:space="preserve"> and </w:t>
      </w:r>
      <w:r w:rsidR="003A6107">
        <w:rPr>
          <w:rFonts w:cstheme="minorHAnsi"/>
        </w:rPr>
        <w:t>34A</w:t>
      </w:r>
      <w:r w:rsidRPr="000204D5">
        <w:rPr>
          <w:rFonts w:cstheme="minorHAnsi"/>
        </w:rPr>
        <w:t xml:space="preserve"> make provision for permanent rules to enable associations to hold meetings by technological means that fulfil the main principle to give participants in such ‘remote’ meetings ‘a reasonable opportunity to participate</w:t>
      </w:r>
      <w:r w:rsidR="002D62C4" w:rsidRPr="000204D5">
        <w:rPr>
          <w:rFonts w:cstheme="minorHAnsi"/>
        </w:rPr>
        <w:t>’</w:t>
      </w:r>
      <w:r w:rsidRPr="000204D5">
        <w:rPr>
          <w:rFonts w:cstheme="minorHAnsi"/>
        </w:rPr>
        <w:t xml:space="preserve"> in the meeting.  In addition, both rules </w:t>
      </w:r>
      <w:r w:rsidR="002D62C4" w:rsidRPr="000204D5">
        <w:rPr>
          <w:rFonts w:cstheme="minorHAnsi"/>
        </w:rPr>
        <w:t>supply</w:t>
      </w:r>
      <w:r w:rsidRPr="000204D5">
        <w:rPr>
          <w:rFonts w:cstheme="minorHAnsi"/>
        </w:rPr>
        <w:t xml:space="preserve"> instances of what is needed to provide reasonable opportunity to participate – being able to hear what other members contribute, being able to speak and otherwise communicate their views, and</w:t>
      </w:r>
      <w:r w:rsidR="002D62C4" w:rsidRPr="000204D5">
        <w:rPr>
          <w:rFonts w:cstheme="minorHAnsi"/>
        </w:rPr>
        <w:t xml:space="preserve"> furnishing </w:t>
      </w:r>
      <w:r w:rsidRPr="000204D5">
        <w:rPr>
          <w:rFonts w:cstheme="minorHAnsi"/>
        </w:rPr>
        <w:t>all participants with the same written material.</w:t>
      </w:r>
    </w:p>
    <w:p w14:paraId="44C6B0B8" w14:textId="157667A0" w:rsidR="00367B22" w:rsidRDefault="00367B22" w:rsidP="000204D5">
      <w:pPr>
        <w:rPr>
          <w:rFonts w:cstheme="minorHAnsi"/>
        </w:rPr>
      </w:pPr>
    </w:p>
    <w:p w14:paraId="7A72245C" w14:textId="1AC6C1F3" w:rsidR="00367B22" w:rsidRPr="000204D5" w:rsidRDefault="00367B22" w:rsidP="000204D5">
      <w:pPr>
        <w:rPr>
          <w:rFonts w:cstheme="minorHAnsi"/>
        </w:rPr>
      </w:pPr>
      <w:r>
        <w:rPr>
          <w:rFonts w:cstheme="minorHAnsi"/>
        </w:rPr>
        <w:t>Current subrule 28(4) on remote Committee meetings has been deleted as no longer necessary.  It was adequate, but new rule</w:t>
      </w:r>
      <w:r w:rsidR="00FE4F71">
        <w:rPr>
          <w:rFonts w:cstheme="minorHAnsi"/>
        </w:rPr>
        <w:t xml:space="preserve"> 26A</w:t>
      </w:r>
      <w:r>
        <w:rPr>
          <w:rFonts w:cstheme="minorHAnsi"/>
        </w:rPr>
        <w:t xml:space="preserve"> contains more detail of what is required which should be helpful to the Committee.</w:t>
      </w:r>
    </w:p>
    <w:p w14:paraId="2AE5ED03" w14:textId="47590AEA" w:rsidR="00F430C1" w:rsidRPr="000204D5" w:rsidRDefault="00F430C1" w:rsidP="000204D5">
      <w:pPr>
        <w:rPr>
          <w:rFonts w:cstheme="minorHAnsi"/>
        </w:rPr>
      </w:pPr>
    </w:p>
    <w:p w14:paraId="26F402C7" w14:textId="68E4930A" w:rsidR="00D11969" w:rsidRPr="000204D5" w:rsidRDefault="00F430C1" w:rsidP="000204D5">
      <w:pPr>
        <w:rPr>
          <w:rFonts w:cstheme="minorHAnsi"/>
        </w:rPr>
      </w:pPr>
      <w:r w:rsidRPr="000204D5">
        <w:rPr>
          <w:rFonts w:cstheme="minorHAnsi"/>
        </w:rPr>
        <w:t xml:space="preserve">For those unable to </w:t>
      </w:r>
      <w:r w:rsidR="00D11969" w:rsidRPr="000204D5">
        <w:rPr>
          <w:rFonts w:cstheme="minorHAnsi"/>
        </w:rPr>
        <w:t xml:space="preserve">access or use the technology required to access a general meeting remotely, subrule </w:t>
      </w:r>
      <w:r w:rsidR="002E1126">
        <w:rPr>
          <w:rFonts w:cstheme="minorHAnsi"/>
        </w:rPr>
        <w:t>34A</w:t>
      </w:r>
      <w:r w:rsidR="00D11969" w:rsidRPr="000204D5">
        <w:rPr>
          <w:rFonts w:cstheme="minorHAnsi"/>
        </w:rPr>
        <w:t>(3) refers to the provision</w:t>
      </w:r>
      <w:r w:rsidR="002E1126">
        <w:rPr>
          <w:rFonts w:cstheme="minorHAnsi"/>
        </w:rPr>
        <w:t>s</w:t>
      </w:r>
      <w:r w:rsidR="00D11969" w:rsidRPr="000204D5">
        <w:rPr>
          <w:rFonts w:cstheme="minorHAnsi"/>
        </w:rPr>
        <w:t xml:space="preserve"> in the Rules for proxy voting.</w:t>
      </w:r>
    </w:p>
    <w:p w14:paraId="3E048820" w14:textId="5E240581" w:rsidR="00F430C1" w:rsidRPr="000204D5" w:rsidRDefault="00D11969" w:rsidP="000204D5">
      <w:pPr>
        <w:rPr>
          <w:rFonts w:cstheme="minorHAnsi"/>
        </w:rPr>
      </w:pPr>
      <w:r w:rsidRPr="000204D5">
        <w:rPr>
          <w:rFonts w:cstheme="minorHAnsi"/>
        </w:rPr>
        <w:t xml:space="preserve"> </w:t>
      </w:r>
    </w:p>
    <w:p w14:paraId="59A31CFC" w14:textId="61893C52" w:rsidR="00CF4E31" w:rsidRPr="000204D5" w:rsidRDefault="00F430C1" w:rsidP="000204D5">
      <w:pPr>
        <w:rPr>
          <w:rFonts w:cstheme="minorHAnsi"/>
        </w:rPr>
      </w:pPr>
      <w:r w:rsidRPr="000204D5">
        <w:rPr>
          <w:rFonts w:cstheme="minorHAnsi"/>
        </w:rPr>
        <w:t>The way the rules are expressed also makes it possible</w:t>
      </w:r>
      <w:r w:rsidR="00D11969" w:rsidRPr="000204D5">
        <w:rPr>
          <w:rFonts w:cstheme="minorHAnsi"/>
        </w:rPr>
        <w:t>, especially in more normal times,</w:t>
      </w:r>
      <w:r w:rsidRPr="000204D5">
        <w:rPr>
          <w:rFonts w:cstheme="minorHAnsi"/>
        </w:rPr>
        <w:t xml:space="preserve"> for one or more committee members to be able to take part in committee meetings </w:t>
      </w:r>
      <w:r w:rsidR="00D11969" w:rsidRPr="000204D5">
        <w:rPr>
          <w:rFonts w:cstheme="minorHAnsi"/>
        </w:rPr>
        <w:t>from another venue to that where the majority of the committee are meeting.</w:t>
      </w:r>
    </w:p>
    <w:p w14:paraId="68DBFAB7" w14:textId="5A2E3205" w:rsidR="004260DA" w:rsidRPr="000204D5" w:rsidRDefault="004260DA" w:rsidP="000204D5">
      <w:pPr>
        <w:rPr>
          <w:rFonts w:cstheme="minorHAnsi"/>
        </w:rPr>
      </w:pPr>
    </w:p>
    <w:p w14:paraId="3941C71A" w14:textId="7AE3F242" w:rsidR="004260DA" w:rsidRPr="0088606B" w:rsidRDefault="004260DA" w:rsidP="00150497">
      <w:pPr>
        <w:pStyle w:val="Paragraph"/>
        <w:keepNext/>
        <w:numPr>
          <w:ilvl w:val="0"/>
          <w:numId w:val="3"/>
        </w:numPr>
        <w:spacing w:before="0"/>
        <w:rPr>
          <w:rFonts w:asciiTheme="minorHAnsi" w:hAnsiTheme="minorHAnsi" w:cstheme="minorHAnsi"/>
          <w:b/>
          <w:bCs/>
          <w:sz w:val="24"/>
        </w:rPr>
      </w:pPr>
      <w:r w:rsidRPr="0088606B">
        <w:rPr>
          <w:rFonts w:asciiTheme="minorHAnsi" w:hAnsiTheme="minorHAnsi" w:cstheme="minorHAnsi"/>
          <w:b/>
          <w:bCs/>
          <w:sz w:val="24"/>
        </w:rPr>
        <w:t>Rule</w:t>
      </w:r>
      <w:r w:rsidR="007E4D1B" w:rsidRPr="0088606B">
        <w:rPr>
          <w:rFonts w:asciiTheme="minorHAnsi" w:hAnsiTheme="minorHAnsi" w:cstheme="minorHAnsi"/>
          <w:b/>
          <w:bCs/>
          <w:sz w:val="24"/>
        </w:rPr>
        <w:t xml:space="preserve"> </w:t>
      </w:r>
      <w:r w:rsidR="002E1126">
        <w:rPr>
          <w:rFonts w:asciiTheme="minorHAnsi" w:hAnsiTheme="minorHAnsi" w:cstheme="minorHAnsi"/>
          <w:b/>
          <w:bCs/>
          <w:sz w:val="24"/>
        </w:rPr>
        <w:t>49 (currently misnumbered 46)</w:t>
      </w:r>
      <w:r w:rsidRPr="0088606B">
        <w:rPr>
          <w:rFonts w:asciiTheme="minorHAnsi" w:hAnsiTheme="minorHAnsi" w:cstheme="minorHAnsi"/>
          <w:b/>
          <w:bCs/>
          <w:sz w:val="24"/>
        </w:rPr>
        <w:t xml:space="preserve"> relating to surplus property on winding up of ARF Inc or the ARF Gift Fund</w:t>
      </w:r>
    </w:p>
    <w:p w14:paraId="300257CE" w14:textId="645A2E98" w:rsidR="004260DA" w:rsidRDefault="002E1126" w:rsidP="000204D5">
      <w:pPr>
        <w:rPr>
          <w:rFonts w:cstheme="minorHAnsi"/>
        </w:rPr>
      </w:pPr>
      <w:r>
        <w:rPr>
          <w:rFonts w:cstheme="minorHAnsi"/>
        </w:rPr>
        <w:t>S</w:t>
      </w:r>
      <w:r w:rsidR="007E4D1B" w:rsidRPr="000204D5">
        <w:rPr>
          <w:rFonts w:cstheme="minorHAnsi"/>
        </w:rPr>
        <w:t xml:space="preserve">ubrule </w:t>
      </w:r>
      <w:r>
        <w:rPr>
          <w:rFonts w:cstheme="minorHAnsi"/>
        </w:rPr>
        <w:t>49</w:t>
      </w:r>
      <w:r w:rsidR="007E4D1B" w:rsidRPr="000204D5">
        <w:rPr>
          <w:rFonts w:cstheme="minorHAnsi"/>
        </w:rPr>
        <w:t>(1) has been amended to clarify that, on the winding up of ARF, it is clear on the face of the rule that designation of another association or fund, authority or institution, as the successor body to receive any ARF surplus, must be made either by its nomination in the Rules or by special resolution of ARF at a general meeting.</w:t>
      </w:r>
    </w:p>
    <w:p w14:paraId="3D5136DC" w14:textId="6FB26977" w:rsidR="007E4D1B" w:rsidRDefault="007E4D1B" w:rsidP="000204D5">
      <w:pPr>
        <w:rPr>
          <w:rFonts w:cstheme="minorHAnsi"/>
        </w:rPr>
      </w:pPr>
    </w:p>
    <w:p w14:paraId="6148EBFD" w14:textId="22C53BF5" w:rsidR="00951659" w:rsidRPr="000204D5" w:rsidRDefault="007E4D1B" w:rsidP="000204D5">
      <w:pPr>
        <w:rPr>
          <w:rFonts w:cstheme="minorHAnsi"/>
        </w:rPr>
      </w:pPr>
      <w:r>
        <w:rPr>
          <w:rFonts w:cstheme="minorHAnsi"/>
        </w:rPr>
        <w:t xml:space="preserve">Renumbered subrule </w:t>
      </w:r>
      <w:r w:rsidR="002E1126">
        <w:rPr>
          <w:rFonts w:cstheme="minorHAnsi"/>
        </w:rPr>
        <w:t>49</w:t>
      </w:r>
      <w:r>
        <w:rPr>
          <w:rFonts w:cstheme="minorHAnsi"/>
        </w:rPr>
        <w:t>(</w:t>
      </w:r>
      <w:r w:rsidR="00951659">
        <w:rPr>
          <w:rFonts w:cstheme="minorHAnsi"/>
        </w:rPr>
        <w:t>3</w:t>
      </w:r>
      <w:r>
        <w:rPr>
          <w:rFonts w:cstheme="minorHAnsi"/>
        </w:rPr>
        <w:t>) has been amended t</w:t>
      </w:r>
      <w:r w:rsidR="00951659">
        <w:rPr>
          <w:rFonts w:cstheme="minorHAnsi"/>
        </w:rPr>
        <w:t xml:space="preserve">o make clearer what kinds of Funds are permissible under the </w:t>
      </w:r>
      <w:r w:rsidR="00951659" w:rsidRPr="000204D5">
        <w:rPr>
          <w:rFonts w:cstheme="minorHAnsi"/>
        </w:rPr>
        <w:t>Income Tax Assessment Act 1997</w:t>
      </w:r>
      <w:r w:rsidR="00951659">
        <w:rPr>
          <w:rFonts w:cstheme="minorHAnsi"/>
        </w:rPr>
        <w:t xml:space="preserve"> as successor bodies to which any surplus assets of the ARF Gift Fund may be transferred.  New subrule </w:t>
      </w:r>
      <w:r w:rsidR="002E1126">
        <w:rPr>
          <w:rFonts w:cstheme="minorHAnsi"/>
        </w:rPr>
        <w:t>49</w:t>
      </w:r>
      <w:r w:rsidR="00951659">
        <w:rPr>
          <w:rFonts w:cstheme="minorHAnsi"/>
        </w:rPr>
        <w:t>(4) provides that where possible a general meeting of the former association should make the transfer decision, but where that doesn’t occur, allows it to be made by the Committee of the former association.</w:t>
      </w:r>
    </w:p>
    <w:p w14:paraId="08DD34B2" w14:textId="7AA087E0" w:rsidR="00D11969" w:rsidRDefault="00D11969" w:rsidP="00D11969">
      <w:pPr>
        <w:pStyle w:val="NormalWeb"/>
        <w:spacing w:before="0" w:beforeAutospacing="0" w:after="0" w:afterAutospacing="0"/>
        <w:rPr>
          <w:rFonts w:ascii="TimesNewRomanPSMT" w:hAnsi="TimesNewRomanPSMT"/>
          <w:color w:val="FF0000"/>
          <w:sz w:val="22"/>
          <w:szCs w:val="22"/>
        </w:rPr>
      </w:pPr>
    </w:p>
    <w:p w14:paraId="7B8999A7" w14:textId="77777777" w:rsidR="00661FC8" w:rsidRPr="00D11969" w:rsidRDefault="00661FC8" w:rsidP="00D11969">
      <w:pPr>
        <w:pStyle w:val="NormalWeb"/>
        <w:spacing w:before="0" w:beforeAutospacing="0" w:after="0" w:afterAutospacing="0"/>
        <w:rPr>
          <w:rFonts w:ascii="TimesNewRomanPSMT" w:hAnsi="TimesNewRomanPSMT"/>
          <w:color w:val="FF0000"/>
          <w:sz w:val="22"/>
          <w:szCs w:val="22"/>
        </w:rPr>
      </w:pPr>
    </w:p>
    <w:p w14:paraId="72AEA2D4" w14:textId="333B3E9B" w:rsidR="00683050" w:rsidRDefault="00683050" w:rsidP="00150497">
      <w:pPr>
        <w:pStyle w:val="Sub-subparagraph"/>
        <w:numPr>
          <w:ilvl w:val="0"/>
          <w:numId w:val="3"/>
        </w:numPr>
        <w:rPr>
          <w:b/>
          <w:bCs/>
        </w:rPr>
      </w:pPr>
      <w:r>
        <w:rPr>
          <w:b/>
          <w:bCs/>
        </w:rPr>
        <w:lastRenderedPageBreak/>
        <w:t>Information about a member that must appear on the membership register</w:t>
      </w:r>
    </w:p>
    <w:p w14:paraId="151F3C58" w14:textId="74969789" w:rsidR="004F1879" w:rsidRPr="0088606B" w:rsidRDefault="00E32543" w:rsidP="000204D5">
      <w:pPr>
        <w:rPr>
          <w:rFonts w:cstheme="minorHAnsi"/>
        </w:rPr>
      </w:pPr>
      <w:r w:rsidRPr="0088606B">
        <w:rPr>
          <w:rFonts w:cstheme="minorHAnsi"/>
        </w:rPr>
        <w:t>Replacement section 67 of the Act now provides for the</w:t>
      </w:r>
      <w:r w:rsidR="0014597C" w:rsidRPr="0088606B">
        <w:rPr>
          <w:rFonts w:cstheme="minorHAnsi"/>
        </w:rPr>
        <w:t xml:space="preserve"> following</w:t>
      </w:r>
      <w:r w:rsidRPr="0088606B">
        <w:rPr>
          <w:rFonts w:cstheme="minorHAnsi"/>
        </w:rPr>
        <w:t xml:space="preserve"> information about members </w:t>
      </w:r>
      <w:r w:rsidR="0088606B">
        <w:rPr>
          <w:rFonts w:cstheme="minorHAnsi"/>
        </w:rPr>
        <w:t>to be included in the</w:t>
      </w:r>
      <w:r w:rsidRPr="0088606B">
        <w:rPr>
          <w:rFonts w:cstheme="minorHAnsi"/>
        </w:rPr>
        <w:t xml:space="preserve"> membership register:  the person’s name and contact details; the class of membership (if applicable); the date the person became a member of the association; anything required by the association’s Rules;</w:t>
      </w:r>
      <w:r w:rsidR="009E5989">
        <w:rPr>
          <w:rFonts w:cstheme="minorHAnsi"/>
        </w:rPr>
        <w:t xml:space="preserve"> and</w:t>
      </w:r>
      <w:r w:rsidRPr="0088606B">
        <w:rPr>
          <w:rFonts w:cstheme="minorHAnsi"/>
        </w:rPr>
        <w:t xml:space="preserve"> anything else prescribed by </w:t>
      </w:r>
      <w:r w:rsidR="009E5989">
        <w:rPr>
          <w:rFonts w:cstheme="minorHAnsi"/>
        </w:rPr>
        <w:t>R</w:t>
      </w:r>
      <w:r w:rsidRPr="0088606B">
        <w:rPr>
          <w:rFonts w:cstheme="minorHAnsi"/>
        </w:rPr>
        <w:t>egulation.</w:t>
      </w:r>
      <w:r w:rsidR="009E0F33" w:rsidRPr="0088606B">
        <w:rPr>
          <w:rFonts w:cstheme="minorHAnsi"/>
        </w:rPr>
        <w:t xml:space="preserve">  </w:t>
      </w:r>
      <w:r w:rsidR="00AC3F25" w:rsidRPr="0088606B">
        <w:rPr>
          <w:rFonts w:cstheme="minorHAnsi"/>
        </w:rPr>
        <w:t>N</w:t>
      </w:r>
      <w:r w:rsidR="00CF15C2" w:rsidRPr="0088606B">
        <w:rPr>
          <w:rFonts w:cstheme="minorHAnsi"/>
        </w:rPr>
        <w:t xml:space="preserve">ew subrule </w:t>
      </w:r>
      <w:r w:rsidR="003D1B62">
        <w:rPr>
          <w:rFonts w:cstheme="minorHAnsi"/>
        </w:rPr>
        <w:t>7</w:t>
      </w:r>
      <w:r w:rsidR="00CF15C2" w:rsidRPr="0088606B">
        <w:rPr>
          <w:rFonts w:cstheme="minorHAnsi"/>
        </w:rPr>
        <w:t>(6) in effect implements this requirement.</w:t>
      </w:r>
    </w:p>
    <w:p w14:paraId="342ED868" w14:textId="77777777" w:rsidR="004F1879" w:rsidRPr="000204D5" w:rsidRDefault="004F1879" w:rsidP="000204D5">
      <w:pPr>
        <w:rPr>
          <w:rFonts w:cstheme="minorHAnsi"/>
        </w:rPr>
      </w:pPr>
    </w:p>
    <w:p w14:paraId="1F7910C4" w14:textId="620A3EF6" w:rsidR="00E32543" w:rsidRDefault="009E0F33" w:rsidP="000204D5">
      <w:pPr>
        <w:rPr>
          <w:rFonts w:cstheme="minorHAnsi"/>
        </w:rPr>
      </w:pPr>
      <w:r w:rsidRPr="0088606B">
        <w:rPr>
          <w:rFonts w:cstheme="minorHAnsi"/>
        </w:rPr>
        <w:t>At the time of writing the</w:t>
      </w:r>
      <w:r w:rsidR="00650B6E" w:rsidRPr="0088606B">
        <w:rPr>
          <w:rFonts w:cstheme="minorHAnsi"/>
        </w:rPr>
        <w:t xml:space="preserve">re do not appear to be any additional requirements in the </w:t>
      </w:r>
      <w:r w:rsidR="00AC3F25" w:rsidRPr="0088606B">
        <w:rPr>
          <w:rFonts w:cstheme="minorHAnsi"/>
        </w:rPr>
        <w:t>R</w:t>
      </w:r>
      <w:r w:rsidR="00650B6E" w:rsidRPr="0088606B">
        <w:rPr>
          <w:rFonts w:cstheme="minorHAnsi"/>
        </w:rPr>
        <w:t xml:space="preserve">egulation or the </w:t>
      </w:r>
      <w:r w:rsidR="00CF15C2" w:rsidRPr="0088606B">
        <w:rPr>
          <w:rFonts w:cstheme="minorHAnsi"/>
        </w:rPr>
        <w:t>ARF</w:t>
      </w:r>
      <w:r w:rsidR="00650B6E" w:rsidRPr="0088606B">
        <w:rPr>
          <w:rFonts w:cstheme="minorHAnsi"/>
        </w:rPr>
        <w:t xml:space="preserve"> Rules</w:t>
      </w:r>
      <w:r w:rsidR="00CF15C2" w:rsidRPr="0088606B">
        <w:rPr>
          <w:rFonts w:cstheme="minorHAnsi"/>
        </w:rPr>
        <w:t>,</w:t>
      </w:r>
      <w:r w:rsidR="00CF0DCB" w:rsidRPr="0088606B">
        <w:rPr>
          <w:rFonts w:cstheme="minorHAnsi"/>
        </w:rPr>
        <w:t xml:space="preserve"> </w:t>
      </w:r>
      <w:r w:rsidR="00CF15C2" w:rsidRPr="0088606B">
        <w:rPr>
          <w:rFonts w:cstheme="minorHAnsi"/>
        </w:rPr>
        <w:t>other than</w:t>
      </w:r>
      <w:r w:rsidR="004F1879" w:rsidRPr="0088606B">
        <w:rPr>
          <w:rFonts w:cstheme="minorHAnsi"/>
        </w:rPr>
        <w:t xml:space="preserve"> </w:t>
      </w:r>
      <w:r w:rsidR="00CF15C2" w:rsidRPr="0088606B">
        <w:rPr>
          <w:rFonts w:cstheme="minorHAnsi"/>
        </w:rPr>
        <w:t>ARF</w:t>
      </w:r>
      <w:r w:rsidR="008A46FB" w:rsidRPr="0088606B">
        <w:rPr>
          <w:rFonts w:cstheme="minorHAnsi"/>
        </w:rPr>
        <w:t xml:space="preserve"> subrule </w:t>
      </w:r>
      <w:r w:rsidR="003D1B62">
        <w:rPr>
          <w:rFonts w:cstheme="minorHAnsi"/>
        </w:rPr>
        <w:t>12</w:t>
      </w:r>
      <w:r w:rsidR="00CF15C2" w:rsidRPr="0088606B">
        <w:rPr>
          <w:rFonts w:cstheme="minorHAnsi"/>
        </w:rPr>
        <w:t>(3)</w:t>
      </w:r>
      <w:r w:rsidR="008A46FB" w:rsidRPr="0088606B">
        <w:rPr>
          <w:rFonts w:cstheme="minorHAnsi"/>
        </w:rPr>
        <w:t xml:space="preserve"> </w:t>
      </w:r>
      <w:r w:rsidR="00CF15C2" w:rsidRPr="0088606B">
        <w:rPr>
          <w:rFonts w:cstheme="minorHAnsi"/>
        </w:rPr>
        <w:t>whic</w:t>
      </w:r>
      <w:r w:rsidR="00AC3F25" w:rsidRPr="0088606B">
        <w:rPr>
          <w:rFonts w:cstheme="minorHAnsi"/>
        </w:rPr>
        <w:t>h</w:t>
      </w:r>
      <w:r w:rsidR="00BD616A">
        <w:rPr>
          <w:rFonts w:cstheme="minorHAnsi"/>
        </w:rPr>
        <w:t xml:space="preserve"> now</w:t>
      </w:r>
      <w:r w:rsidR="004F1879" w:rsidRPr="0088606B">
        <w:rPr>
          <w:rFonts w:cstheme="minorHAnsi"/>
        </w:rPr>
        <w:t xml:space="preserve"> </w:t>
      </w:r>
      <w:r w:rsidR="008A46FB" w:rsidRPr="0088606B">
        <w:rPr>
          <w:rFonts w:cstheme="minorHAnsi"/>
        </w:rPr>
        <w:t xml:space="preserve">provides that when a person ceases to be a Member, </w:t>
      </w:r>
      <w:r w:rsidR="00D62562" w:rsidRPr="0088606B">
        <w:rPr>
          <w:rFonts w:cstheme="minorHAnsi"/>
        </w:rPr>
        <w:t>‘the Committee will ensure that an appropriate record is maintained’</w:t>
      </w:r>
      <w:r w:rsidR="00CF0DCB" w:rsidRPr="0088606B">
        <w:rPr>
          <w:rFonts w:cstheme="minorHAnsi"/>
        </w:rPr>
        <w:t>.</w:t>
      </w:r>
    </w:p>
    <w:p w14:paraId="73A796A2" w14:textId="23211AC0" w:rsidR="003D1B62" w:rsidRPr="000E223B" w:rsidRDefault="003D1B62" w:rsidP="003D1B62">
      <w:pPr>
        <w:pStyle w:val="Sub-subparagraph"/>
        <w:numPr>
          <w:ilvl w:val="0"/>
          <w:numId w:val="10"/>
        </w:numPr>
        <w:rPr>
          <w:b/>
          <w:bCs/>
          <w:u w:val="single"/>
        </w:rPr>
      </w:pPr>
      <w:r w:rsidRPr="000E223B">
        <w:rPr>
          <w:b/>
          <w:bCs/>
          <w:u w:val="single"/>
        </w:rPr>
        <w:t xml:space="preserve">Other significant legislative changes not requiring changes to the </w:t>
      </w:r>
      <w:r w:rsidR="004E6055">
        <w:rPr>
          <w:b/>
          <w:bCs/>
          <w:u w:val="single"/>
        </w:rPr>
        <w:t>ARF</w:t>
      </w:r>
      <w:r w:rsidRPr="000E223B">
        <w:rPr>
          <w:b/>
          <w:bCs/>
          <w:u w:val="single"/>
        </w:rPr>
        <w:t xml:space="preserve"> Rules</w:t>
      </w:r>
    </w:p>
    <w:p w14:paraId="0608A82D" w14:textId="77777777" w:rsidR="00912BEB" w:rsidRPr="00683050" w:rsidRDefault="00912BEB" w:rsidP="00683050">
      <w:pPr>
        <w:pStyle w:val="Paragraph2"/>
        <w:spacing w:before="0"/>
      </w:pPr>
    </w:p>
    <w:p w14:paraId="0A44547F" w14:textId="4947EEE4" w:rsidR="00B602BB" w:rsidRDefault="005B4DC4" w:rsidP="00150497">
      <w:pPr>
        <w:pStyle w:val="Paragraph"/>
        <w:keepNext/>
        <w:numPr>
          <w:ilvl w:val="0"/>
          <w:numId w:val="3"/>
        </w:numPr>
        <w:spacing w:before="0"/>
        <w:rPr>
          <w:rFonts w:asciiTheme="minorHAnsi" w:hAnsiTheme="minorHAnsi" w:cstheme="minorHAnsi"/>
          <w:b/>
          <w:bCs/>
          <w:sz w:val="24"/>
        </w:rPr>
      </w:pPr>
      <w:r>
        <w:rPr>
          <w:rFonts w:asciiTheme="minorHAnsi" w:hAnsiTheme="minorHAnsi" w:cstheme="minorHAnsi"/>
          <w:b/>
          <w:bCs/>
          <w:sz w:val="24"/>
        </w:rPr>
        <w:t>Members’ a</w:t>
      </w:r>
      <w:r w:rsidR="00B602BB">
        <w:rPr>
          <w:rFonts w:asciiTheme="minorHAnsi" w:hAnsiTheme="minorHAnsi" w:cstheme="minorHAnsi"/>
          <w:b/>
          <w:bCs/>
          <w:sz w:val="24"/>
        </w:rPr>
        <w:t>ccess to documents of an association and</w:t>
      </w:r>
      <w:r>
        <w:rPr>
          <w:rFonts w:asciiTheme="minorHAnsi" w:hAnsiTheme="minorHAnsi" w:cstheme="minorHAnsi"/>
          <w:b/>
          <w:bCs/>
          <w:sz w:val="24"/>
        </w:rPr>
        <w:t xml:space="preserve"> right</w:t>
      </w:r>
      <w:r w:rsidR="00B602BB">
        <w:rPr>
          <w:rFonts w:asciiTheme="minorHAnsi" w:hAnsiTheme="minorHAnsi" w:cstheme="minorHAnsi"/>
          <w:b/>
          <w:bCs/>
          <w:sz w:val="24"/>
        </w:rPr>
        <w:t xml:space="preserve"> to obtain</w:t>
      </w:r>
      <w:r w:rsidR="009E5989">
        <w:rPr>
          <w:rFonts w:asciiTheme="minorHAnsi" w:hAnsiTheme="minorHAnsi" w:cstheme="minorHAnsi"/>
          <w:b/>
          <w:bCs/>
          <w:sz w:val="24"/>
        </w:rPr>
        <w:t xml:space="preserve"> a</w:t>
      </w:r>
      <w:r w:rsidR="00B602BB">
        <w:rPr>
          <w:rFonts w:asciiTheme="minorHAnsi" w:hAnsiTheme="minorHAnsi" w:cstheme="minorHAnsi"/>
          <w:b/>
          <w:bCs/>
          <w:sz w:val="24"/>
        </w:rPr>
        <w:t xml:space="preserve"> summary of the minutes of a meeting of the committee</w:t>
      </w:r>
    </w:p>
    <w:p w14:paraId="04A3AA20" w14:textId="6398C23B" w:rsidR="005B4DC4" w:rsidRPr="000204D5" w:rsidRDefault="004655F4" w:rsidP="000204D5">
      <w:pPr>
        <w:rPr>
          <w:rFonts w:cstheme="minorHAnsi"/>
        </w:rPr>
      </w:pPr>
      <w:r w:rsidRPr="000204D5">
        <w:rPr>
          <w:rFonts w:cstheme="minorHAnsi"/>
        </w:rPr>
        <w:t>A new provision</w:t>
      </w:r>
      <w:r w:rsidR="000843BA" w:rsidRPr="000204D5">
        <w:rPr>
          <w:rFonts w:cstheme="minorHAnsi"/>
        </w:rPr>
        <w:t xml:space="preserve"> of the Act</w:t>
      </w:r>
      <w:r w:rsidRPr="000204D5">
        <w:rPr>
          <w:rFonts w:cstheme="minorHAnsi"/>
        </w:rPr>
        <w:t xml:space="preserve"> (section 35(1)(d)) gives members of an association the right to obtain a summary of the minutes of a meeting of the committee, in addition to existing right</w:t>
      </w:r>
      <w:r w:rsidR="005B4DC4" w:rsidRPr="000204D5">
        <w:rPr>
          <w:rFonts w:cstheme="minorHAnsi"/>
        </w:rPr>
        <w:t>s</w:t>
      </w:r>
      <w:r w:rsidR="00273D6F" w:rsidRPr="000204D5">
        <w:rPr>
          <w:rFonts w:cstheme="minorHAnsi"/>
        </w:rPr>
        <w:t xml:space="preserve"> in that section</w:t>
      </w:r>
      <w:r w:rsidRPr="000204D5">
        <w:rPr>
          <w:rFonts w:cstheme="minorHAnsi"/>
        </w:rPr>
        <w:t xml:space="preserve"> to access the objects and rules of the association, and the deeds of any relevant trust.  The association may charge a scheduled fee for documents</w:t>
      </w:r>
      <w:r w:rsidR="005B4DC4" w:rsidRPr="000204D5">
        <w:rPr>
          <w:rFonts w:cstheme="minorHAnsi"/>
        </w:rPr>
        <w:t xml:space="preserve"> that are</w:t>
      </w:r>
      <w:r w:rsidRPr="000204D5">
        <w:rPr>
          <w:rFonts w:cstheme="minorHAnsi"/>
        </w:rPr>
        <w:t xml:space="preserve"> provided (see sections 35(2) and 125).  </w:t>
      </w:r>
    </w:p>
    <w:p w14:paraId="55687539" w14:textId="77777777" w:rsidR="005B4DC4" w:rsidRPr="000204D5" w:rsidRDefault="005B4DC4" w:rsidP="000204D5">
      <w:pPr>
        <w:rPr>
          <w:rFonts w:cstheme="minorHAnsi"/>
        </w:rPr>
      </w:pPr>
    </w:p>
    <w:p w14:paraId="651FCAF7" w14:textId="7FF02C5F" w:rsidR="004655F4" w:rsidRPr="000204D5" w:rsidRDefault="004655F4" w:rsidP="000204D5">
      <w:pPr>
        <w:rPr>
          <w:rFonts w:cstheme="minorHAnsi"/>
        </w:rPr>
      </w:pPr>
      <w:r w:rsidRPr="000204D5">
        <w:rPr>
          <w:rFonts w:cstheme="minorHAnsi"/>
        </w:rPr>
        <w:t>However, new section 35A also provides that the committee may refuse access to any documents to which a member would otherwise have a right of access</w:t>
      </w:r>
      <w:r w:rsidR="00C15B1C" w:rsidRPr="000204D5">
        <w:rPr>
          <w:rFonts w:cstheme="minorHAnsi"/>
        </w:rPr>
        <w:t xml:space="preserve">  under the Act or the association’s Rules</w:t>
      </w:r>
      <w:r w:rsidRPr="000204D5">
        <w:rPr>
          <w:rFonts w:cstheme="minorHAnsi"/>
        </w:rPr>
        <w:t xml:space="preserve">, if the committee is ‘satisfied that allowing access to the documents would be prejudicial to the interests of the association’.  </w:t>
      </w:r>
    </w:p>
    <w:p w14:paraId="7CBFF52D" w14:textId="77777777" w:rsidR="004655F4" w:rsidRPr="000204D5" w:rsidRDefault="004655F4" w:rsidP="000204D5">
      <w:pPr>
        <w:rPr>
          <w:rFonts w:cstheme="minorHAnsi"/>
        </w:rPr>
      </w:pPr>
    </w:p>
    <w:p w14:paraId="5B3A6AB5" w14:textId="2F024144" w:rsidR="004655F4" w:rsidRDefault="004655F4" w:rsidP="000204D5">
      <w:pPr>
        <w:rPr>
          <w:rFonts w:cstheme="minorHAnsi"/>
        </w:rPr>
      </w:pPr>
      <w:r>
        <w:rPr>
          <w:rFonts w:cstheme="minorHAnsi"/>
        </w:rPr>
        <w:t>Moreover, section 35A(2) provides that the rules of an association ‘may provide for the circumstances in which access to documents is allowed or restricted’, including requiring the requesting member to ‘state the purpose for requiring access to the document’.  This last provision is relevant to decision-making</w:t>
      </w:r>
      <w:r w:rsidR="002D5C1A">
        <w:rPr>
          <w:rFonts w:cstheme="minorHAnsi"/>
        </w:rPr>
        <w:t xml:space="preserve"> about requests</w:t>
      </w:r>
      <w:r>
        <w:rPr>
          <w:rFonts w:cstheme="minorHAnsi"/>
        </w:rPr>
        <w:t xml:space="preserve"> for inspection of the membership register (see item </w:t>
      </w:r>
      <w:r w:rsidR="009E5989">
        <w:rPr>
          <w:rFonts w:cstheme="minorHAnsi"/>
        </w:rPr>
        <w:t>8</w:t>
      </w:r>
      <w:r>
        <w:rPr>
          <w:rFonts w:cstheme="minorHAnsi"/>
        </w:rPr>
        <w:t xml:space="preserve"> above).  No such rules have been made by </w:t>
      </w:r>
      <w:r w:rsidR="00CE5D16">
        <w:rPr>
          <w:rFonts w:cstheme="minorHAnsi"/>
        </w:rPr>
        <w:t>ARF</w:t>
      </w:r>
      <w:r>
        <w:rPr>
          <w:rFonts w:cstheme="minorHAnsi"/>
        </w:rPr>
        <w:t xml:space="preserve"> at this stage.  </w:t>
      </w:r>
    </w:p>
    <w:p w14:paraId="40B81480" w14:textId="70F7442B" w:rsidR="00214EB5" w:rsidRDefault="00214EB5" w:rsidP="0088606B">
      <w:pPr>
        <w:pStyle w:val="NormalWeb"/>
        <w:spacing w:before="0" w:beforeAutospacing="0" w:after="0" w:afterAutospacing="0"/>
        <w:rPr>
          <w:rFonts w:cstheme="minorHAnsi"/>
        </w:rPr>
      </w:pPr>
    </w:p>
    <w:p w14:paraId="57CDE17E" w14:textId="2061D8DA" w:rsidR="004D45DC" w:rsidRDefault="00B215D0" w:rsidP="00150497">
      <w:pPr>
        <w:pStyle w:val="ListParagraph"/>
        <w:numPr>
          <w:ilvl w:val="0"/>
          <w:numId w:val="3"/>
        </w:numPr>
        <w:rPr>
          <w:b/>
          <w:bCs/>
          <w:lang w:val="en-AU"/>
        </w:rPr>
      </w:pPr>
      <w:r>
        <w:rPr>
          <w:b/>
          <w:bCs/>
          <w:lang w:val="en-AU"/>
        </w:rPr>
        <w:t xml:space="preserve">Change to provision for </w:t>
      </w:r>
      <w:r w:rsidR="005651AC">
        <w:rPr>
          <w:b/>
          <w:bCs/>
          <w:lang w:val="en-AU"/>
        </w:rPr>
        <w:t xml:space="preserve">a new </w:t>
      </w:r>
      <w:r>
        <w:rPr>
          <w:b/>
          <w:bCs/>
          <w:lang w:val="en-AU"/>
        </w:rPr>
        <w:t>public officer</w:t>
      </w:r>
      <w:r w:rsidR="005651AC">
        <w:rPr>
          <w:b/>
          <w:bCs/>
          <w:lang w:val="en-AU"/>
        </w:rPr>
        <w:t xml:space="preserve"> to</w:t>
      </w:r>
      <w:r>
        <w:rPr>
          <w:b/>
          <w:bCs/>
          <w:lang w:val="en-AU"/>
        </w:rPr>
        <w:t xml:space="preserve"> </w:t>
      </w:r>
      <w:r w:rsidR="00F9068B">
        <w:rPr>
          <w:b/>
          <w:bCs/>
          <w:lang w:val="en-AU"/>
        </w:rPr>
        <w:t>giv</w:t>
      </w:r>
      <w:r w:rsidR="005651AC">
        <w:rPr>
          <w:b/>
          <w:bCs/>
          <w:lang w:val="en-AU"/>
        </w:rPr>
        <w:t>e</w:t>
      </w:r>
      <w:r>
        <w:rPr>
          <w:b/>
          <w:bCs/>
          <w:lang w:val="en-AU"/>
        </w:rPr>
        <w:t xml:space="preserve"> notice to Access Canberra</w:t>
      </w:r>
      <w:r w:rsidR="00F9068B">
        <w:rPr>
          <w:b/>
          <w:bCs/>
          <w:lang w:val="en-AU"/>
        </w:rPr>
        <w:t xml:space="preserve"> – does not apply</w:t>
      </w:r>
      <w:r>
        <w:rPr>
          <w:b/>
          <w:bCs/>
          <w:lang w:val="en-AU"/>
        </w:rPr>
        <w:t xml:space="preserve"> where the relevant  association</w:t>
      </w:r>
      <w:r w:rsidR="00F9068B">
        <w:rPr>
          <w:b/>
          <w:bCs/>
          <w:lang w:val="en-AU"/>
        </w:rPr>
        <w:t xml:space="preserve"> is an ACNC entity</w:t>
      </w:r>
    </w:p>
    <w:p w14:paraId="1FCCAE7C" w14:textId="03DB3192" w:rsidR="00683050" w:rsidRPr="000204D5" w:rsidRDefault="00683050" w:rsidP="000204D5">
      <w:pPr>
        <w:rPr>
          <w:rFonts w:cstheme="minorHAnsi"/>
        </w:rPr>
      </w:pPr>
      <w:r w:rsidRPr="000204D5">
        <w:rPr>
          <w:rFonts w:cstheme="minorHAnsi"/>
        </w:rPr>
        <w:t xml:space="preserve">Section 59 of the Act provides that changes to appointment as a public officer or to the public officer’s address must be reported to the registrar–general within a month.  New subsection 59(3) provides that </w:t>
      </w:r>
      <w:r w:rsidR="00F9068B" w:rsidRPr="000204D5">
        <w:rPr>
          <w:rFonts w:cstheme="minorHAnsi"/>
        </w:rPr>
        <w:t>those provisions</w:t>
      </w:r>
      <w:r w:rsidRPr="000204D5">
        <w:rPr>
          <w:rFonts w:cstheme="minorHAnsi"/>
        </w:rPr>
        <w:t xml:space="preserve"> do not apply to the public officer of an association that is an ACNC registered entity (the ACNC is the Australian Charities and Not-for-profits Commissioner).  </w:t>
      </w:r>
      <w:r w:rsidR="00CE5D16" w:rsidRPr="000204D5">
        <w:rPr>
          <w:rFonts w:cstheme="minorHAnsi"/>
        </w:rPr>
        <w:t>ARF</w:t>
      </w:r>
      <w:r w:rsidRPr="000204D5">
        <w:rPr>
          <w:rFonts w:cstheme="minorHAnsi"/>
        </w:rPr>
        <w:t xml:space="preserve"> is </w:t>
      </w:r>
      <w:r w:rsidR="00183DA1" w:rsidRPr="000204D5">
        <w:rPr>
          <w:rFonts w:cstheme="minorHAnsi"/>
        </w:rPr>
        <w:t>such an entity</w:t>
      </w:r>
      <w:r w:rsidRPr="000204D5">
        <w:rPr>
          <w:rFonts w:cstheme="minorHAnsi"/>
        </w:rPr>
        <w:t>.</w:t>
      </w:r>
    </w:p>
    <w:p w14:paraId="0B095EAC" w14:textId="01819B8B" w:rsidR="00CE5D16" w:rsidRPr="000204D5" w:rsidRDefault="00CE5D16" w:rsidP="00B215D0">
      <w:pPr>
        <w:rPr>
          <w:rFonts w:cstheme="minorHAnsi"/>
        </w:rPr>
      </w:pPr>
    </w:p>
    <w:p w14:paraId="0B2871DD" w14:textId="6AD62F65" w:rsidR="00C15B1C" w:rsidRPr="000204D5" w:rsidRDefault="00CE5D16" w:rsidP="000204D5">
      <w:pPr>
        <w:rPr>
          <w:rFonts w:cstheme="minorHAnsi"/>
        </w:rPr>
      </w:pPr>
      <w:r w:rsidRPr="000204D5">
        <w:rPr>
          <w:rFonts w:cstheme="minorHAnsi"/>
          <w:b/>
          <w:bCs/>
        </w:rPr>
        <w:t>Note</w:t>
      </w:r>
      <w:r w:rsidRPr="000204D5">
        <w:rPr>
          <w:rFonts w:cstheme="minorHAnsi"/>
        </w:rPr>
        <w:t xml:space="preserve">: However, there seems to be a gap </w:t>
      </w:r>
      <w:r w:rsidR="00273D6F" w:rsidRPr="000204D5">
        <w:rPr>
          <w:rFonts w:cstheme="minorHAnsi"/>
        </w:rPr>
        <w:t>between</w:t>
      </w:r>
      <w:r w:rsidRPr="000204D5">
        <w:rPr>
          <w:rFonts w:cstheme="minorHAnsi"/>
        </w:rPr>
        <w:t xml:space="preserve"> the</w:t>
      </w:r>
      <w:r w:rsidR="00273D6F" w:rsidRPr="000204D5">
        <w:rPr>
          <w:rFonts w:cstheme="minorHAnsi"/>
        </w:rPr>
        <w:t xml:space="preserve"> intention of the</w:t>
      </w:r>
      <w:r w:rsidRPr="000204D5">
        <w:rPr>
          <w:rFonts w:cstheme="minorHAnsi"/>
        </w:rPr>
        <w:t xml:space="preserve"> legislation and the </w:t>
      </w:r>
      <w:r w:rsidR="00273D6F" w:rsidRPr="000204D5">
        <w:rPr>
          <w:rFonts w:cstheme="minorHAnsi"/>
        </w:rPr>
        <w:t xml:space="preserve">application of the </w:t>
      </w:r>
      <w:r w:rsidRPr="000204D5">
        <w:rPr>
          <w:rFonts w:cstheme="minorHAnsi"/>
        </w:rPr>
        <w:t>agreement between Access Canberra and the ACNC, in that an association’s public officer does not at present seem to be among those ‘responsible persons’ whose details are required to be supplied to the ACNC.  Hopefully, some association will take this up with both Access Canberra and ACNC in the future.</w:t>
      </w:r>
    </w:p>
    <w:sectPr w:rsidR="00C15B1C" w:rsidRPr="000204D5" w:rsidSect="008A46F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1AE1" w14:textId="77777777" w:rsidR="005971B6" w:rsidRDefault="005971B6" w:rsidP="009213B1">
      <w:r>
        <w:separator/>
      </w:r>
    </w:p>
  </w:endnote>
  <w:endnote w:type="continuationSeparator" w:id="0">
    <w:p w14:paraId="632B79FC" w14:textId="77777777" w:rsidR="005971B6" w:rsidRDefault="005971B6" w:rsidP="0092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D18F" w14:textId="77777777" w:rsidR="00956B67" w:rsidRDefault="0095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9BD5" w14:textId="77777777" w:rsidR="00956B67" w:rsidRDefault="00956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59BF" w14:textId="77777777" w:rsidR="00956B67" w:rsidRDefault="0095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61FFD" w14:textId="77777777" w:rsidR="005971B6" w:rsidRDefault="005971B6" w:rsidP="009213B1">
      <w:r>
        <w:separator/>
      </w:r>
    </w:p>
  </w:footnote>
  <w:footnote w:type="continuationSeparator" w:id="0">
    <w:p w14:paraId="7B68C445" w14:textId="77777777" w:rsidR="005971B6" w:rsidRDefault="005971B6" w:rsidP="009213B1">
      <w:r>
        <w:continuationSeparator/>
      </w:r>
    </w:p>
  </w:footnote>
  <w:footnote w:id="1">
    <w:p w14:paraId="14FDA87A" w14:textId="5EBDF752" w:rsidR="00F90227" w:rsidRPr="00A8256F" w:rsidRDefault="00F90227" w:rsidP="00F90227">
      <w:pPr>
        <w:pStyle w:val="FootnoteText"/>
        <w:rPr>
          <w:lang w:val="en-AU"/>
        </w:rPr>
      </w:pPr>
      <w:r>
        <w:rPr>
          <w:rStyle w:val="FootnoteReference"/>
        </w:rPr>
        <w:footnoteRef/>
      </w:r>
      <w:r>
        <w:t xml:space="preserve"> </w:t>
      </w:r>
      <w:r>
        <w:rPr>
          <w:lang w:val="en-AU"/>
        </w:rPr>
        <w:t xml:space="preserve">See eg Justice Connect/Not-for-profit Law, online </w:t>
      </w:r>
      <w:r w:rsidRPr="00B1270E">
        <w:rPr>
          <w:lang w:val="en-AU"/>
        </w:rPr>
        <w:t>Duties Guide</w:t>
      </w:r>
      <w:r>
        <w:rPr>
          <w:lang w:val="en-AU"/>
        </w:rPr>
        <w:t xml:space="preserve"> (Cth).pdf, Part B, updated May 2019.  See also ACNC Governance Standard 5, ‘Duties of responsible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CAAB" w14:textId="3FF63D02" w:rsidR="008A46FB" w:rsidRDefault="008A46FB" w:rsidP="00E244B0">
    <w:pPr>
      <w:pStyle w:val="Header"/>
      <w:framePr w:wrap="none" w:vAnchor="text" w:hAnchor="margin" w:xAlign="center" w:y="1"/>
      <w:rPr>
        <w:rStyle w:val="PageNumber"/>
      </w:rPr>
    </w:pPr>
  </w:p>
  <w:sdt>
    <w:sdtPr>
      <w:rPr>
        <w:rStyle w:val="PageNumber"/>
      </w:rPr>
      <w:id w:val="612565466"/>
      <w:docPartObj>
        <w:docPartGallery w:val="Page Numbers (Top of Page)"/>
        <w:docPartUnique/>
      </w:docPartObj>
    </w:sdtPr>
    <w:sdtEndPr>
      <w:rPr>
        <w:rStyle w:val="PageNumber"/>
      </w:rPr>
    </w:sdtEndPr>
    <w:sdtContent>
      <w:p w14:paraId="758ADA1C" w14:textId="77777777" w:rsidR="008A46FB" w:rsidRDefault="005971B6" w:rsidP="00E244B0">
        <w:pPr>
          <w:pStyle w:val="Header"/>
          <w:framePr w:wrap="none" w:vAnchor="text" w:hAnchor="margin" w:xAlign="center" w:y="1"/>
          <w:rPr>
            <w:rStyle w:val="PageNumber"/>
          </w:rPr>
        </w:pPr>
      </w:p>
    </w:sdtContent>
  </w:sdt>
  <w:p w14:paraId="36C4AAEB" w14:textId="77777777" w:rsidR="008A46FB" w:rsidRDefault="008A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854099"/>
      <w:docPartObj>
        <w:docPartGallery w:val="Page Numbers (Top of Page)"/>
        <w:docPartUnique/>
      </w:docPartObj>
    </w:sdtPr>
    <w:sdtEndPr>
      <w:rPr>
        <w:rStyle w:val="PageNumber"/>
      </w:rPr>
    </w:sdtEndPr>
    <w:sdtContent>
      <w:p w14:paraId="10A88F9A" w14:textId="6B8E3ABD" w:rsidR="008A46FB" w:rsidRDefault="008A46FB" w:rsidP="00E244B0">
        <w:pPr>
          <w:pStyle w:val="Header"/>
          <w:framePr w:wrap="none" w:vAnchor="text" w:hAnchor="margin" w:xAlign="center" w:y="1"/>
          <w:rPr>
            <w:rStyle w:val="PageNumber"/>
          </w:rPr>
        </w:pPr>
        <w:r>
          <w:rPr>
            <w:rStyle w:val="PageNumber"/>
            <w:noProof/>
          </w:rPr>
          <w:t>2</w:t>
        </w:r>
      </w:p>
    </w:sdtContent>
  </w:sdt>
  <w:p w14:paraId="15E516CE" w14:textId="648F56C2" w:rsidR="008A46FB" w:rsidRDefault="008A4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4E82" w14:textId="6D2F0596" w:rsidR="00956B67" w:rsidRDefault="0095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DB0"/>
    <w:multiLevelType w:val="hybridMultilevel"/>
    <w:tmpl w:val="E1F8A1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E1022"/>
    <w:multiLevelType w:val="hybridMultilevel"/>
    <w:tmpl w:val="2F8EB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504E2"/>
    <w:multiLevelType w:val="hybridMultilevel"/>
    <w:tmpl w:val="2F8EB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61662"/>
    <w:multiLevelType w:val="hybridMultilevel"/>
    <w:tmpl w:val="658C2E3E"/>
    <w:lvl w:ilvl="0" w:tplc="71AE7FD2">
      <w:start w:val="1"/>
      <w:numFmt w:val="decimal"/>
      <w:lvlText w:val="%1."/>
      <w:lvlJc w:val="left"/>
      <w:pPr>
        <w:ind w:left="786"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055B"/>
    <w:multiLevelType w:val="hybridMultilevel"/>
    <w:tmpl w:val="E1F8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D8D"/>
    <w:multiLevelType w:val="hybridMultilevel"/>
    <w:tmpl w:val="E1F8A1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729A1"/>
    <w:multiLevelType w:val="hybridMultilevel"/>
    <w:tmpl w:val="73B8BEB6"/>
    <w:lvl w:ilvl="0" w:tplc="C3A64A14">
      <w:start w:val="1"/>
      <w:numFmt w:val="lowerLetter"/>
      <w:pStyle w:val="Sectio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456A76"/>
    <w:multiLevelType w:val="hybridMultilevel"/>
    <w:tmpl w:val="E1F8A1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25631"/>
    <w:multiLevelType w:val="hybridMultilevel"/>
    <w:tmpl w:val="E1F8A1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B4CC1"/>
    <w:multiLevelType w:val="hybridMultilevel"/>
    <w:tmpl w:val="658C2E3E"/>
    <w:lvl w:ilvl="0" w:tplc="71AE7FD2">
      <w:start w:val="1"/>
      <w:numFmt w:val="decimal"/>
      <w:lvlText w:val="%1."/>
      <w:lvlJc w:val="left"/>
      <w:pPr>
        <w:ind w:left="786"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42971"/>
    <w:multiLevelType w:val="hybridMultilevel"/>
    <w:tmpl w:val="E1F8A18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E089C"/>
    <w:multiLevelType w:val="hybridMultilevel"/>
    <w:tmpl w:val="E5CEC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8C5F8E"/>
    <w:multiLevelType w:val="hybridMultilevel"/>
    <w:tmpl w:val="68564156"/>
    <w:lvl w:ilvl="0" w:tplc="71AE7FD2">
      <w:start w:val="1"/>
      <w:numFmt w:val="decimal"/>
      <w:lvlText w:val="%1."/>
      <w:lvlJc w:val="left"/>
      <w:pPr>
        <w:ind w:left="786"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4"/>
  </w:num>
  <w:num w:numId="5">
    <w:abstractNumId w:val="5"/>
  </w:num>
  <w:num w:numId="6">
    <w:abstractNumId w:val="0"/>
  </w:num>
  <w:num w:numId="7">
    <w:abstractNumId w:val="7"/>
  </w:num>
  <w:num w:numId="8">
    <w:abstractNumId w:val="10"/>
  </w:num>
  <w:num w:numId="9">
    <w:abstractNumId w:val="8"/>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71"/>
    <w:rsid w:val="000012CA"/>
    <w:rsid w:val="000053B6"/>
    <w:rsid w:val="000204D5"/>
    <w:rsid w:val="000213AF"/>
    <w:rsid w:val="00027A6A"/>
    <w:rsid w:val="000346E6"/>
    <w:rsid w:val="000463F3"/>
    <w:rsid w:val="00060408"/>
    <w:rsid w:val="000734EC"/>
    <w:rsid w:val="000843BA"/>
    <w:rsid w:val="00087668"/>
    <w:rsid w:val="0009528E"/>
    <w:rsid w:val="000A09D6"/>
    <w:rsid w:val="000B6248"/>
    <w:rsid w:val="000C3F46"/>
    <w:rsid w:val="000C623A"/>
    <w:rsid w:val="000D5521"/>
    <w:rsid w:val="000E09C8"/>
    <w:rsid w:val="000E1AD6"/>
    <w:rsid w:val="000E223B"/>
    <w:rsid w:val="000F38BA"/>
    <w:rsid w:val="0012573F"/>
    <w:rsid w:val="00133341"/>
    <w:rsid w:val="0014597C"/>
    <w:rsid w:val="00150497"/>
    <w:rsid w:val="00172C1C"/>
    <w:rsid w:val="00176DEF"/>
    <w:rsid w:val="00183DA1"/>
    <w:rsid w:val="00184301"/>
    <w:rsid w:val="00212710"/>
    <w:rsid w:val="00214EB5"/>
    <w:rsid w:val="00226424"/>
    <w:rsid w:val="00226E0E"/>
    <w:rsid w:val="00242CC4"/>
    <w:rsid w:val="0024364C"/>
    <w:rsid w:val="00246886"/>
    <w:rsid w:val="0025117B"/>
    <w:rsid w:val="00254012"/>
    <w:rsid w:val="00273D6F"/>
    <w:rsid w:val="002745CC"/>
    <w:rsid w:val="002746DE"/>
    <w:rsid w:val="00276E7E"/>
    <w:rsid w:val="00282154"/>
    <w:rsid w:val="002937F6"/>
    <w:rsid w:val="002A39BB"/>
    <w:rsid w:val="002A7634"/>
    <w:rsid w:val="002B1A8F"/>
    <w:rsid w:val="002D5C1A"/>
    <w:rsid w:val="002D62C4"/>
    <w:rsid w:val="002E1126"/>
    <w:rsid w:val="002F389D"/>
    <w:rsid w:val="003062B2"/>
    <w:rsid w:val="003267F1"/>
    <w:rsid w:val="00327D2C"/>
    <w:rsid w:val="003335F8"/>
    <w:rsid w:val="00335476"/>
    <w:rsid w:val="00336076"/>
    <w:rsid w:val="00341DAA"/>
    <w:rsid w:val="00343EF5"/>
    <w:rsid w:val="003450A7"/>
    <w:rsid w:val="00351A27"/>
    <w:rsid w:val="00363058"/>
    <w:rsid w:val="0036619D"/>
    <w:rsid w:val="00367B22"/>
    <w:rsid w:val="00372AE8"/>
    <w:rsid w:val="00381CFC"/>
    <w:rsid w:val="003A6107"/>
    <w:rsid w:val="003D1B62"/>
    <w:rsid w:val="0040014D"/>
    <w:rsid w:val="00404D22"/>
    <w:rsid w:val="004055D7"/>
    <w:rsid w:val="00414647"/>
    <w:rsid w:val="00415177"/>
    <w:rsid w:val="004260DA"/>
    <w:rsid w:val="00462238"/>
    <w:rsid w:val="0046427C"/>
    <w:rsid w:val="00464F18"/>
    <w:rsid w:val="004655F4"/>
    <w:rsid w:val="0048296E"/>
    <w:rsid w:val="004A213A"/>
    <w:rsid w:val="004C18B5"/>
    <w:rsid w:val="004D45DC"/>
    <w:rsid w:val="004D7A54"/>
    <w:rsid w:val="004E433F"/>
    <w:rsid w:val="004E6055"/>
    <w:rsid w:val="004F1879"/>
    <w:rsid w:val="004F7DDD"/>
    <w:rsid w:val="005103AF"/>
    <w:rsid w:val="005178C1"/>
    <w:rsid w:val="00523EA8"/>
    <w:rsid w:val="00534606"/>
    <w:rsid w:val="0053798C"/>
    <w:rsid w:val="005637B8"/>
    <w:rsid w:val="00563DA6"/>
    <w:rsid w:val="005651AC"/>
    <w:rsid w:val="00580BC8"/>
    <w:rsid w:val="00592D4D"/>
    <w:rsid w:val="005971B6"/>
    <w:rsid w:val="005B1329"/>
    <w:rsid w:val="005B4DC4"/>
    <w:rsid w:val="005C7C3F"/>
    <w:rsid w:val="005D3857"/>
    <w:rsid w:val="005E25E7"/>
    <w:rsid w:val="005E5937"/>
    <w:rsid w:val="005E75AD"/>
    <w:rsid w:val="005F101B"/>
    <w:rsid w:val="00604433"/>
    <w:rsid w:val="00613B27"/>
    <w:rsid w:val="00616FBB"/>
    <w:rsid w:val="00643AA7"/>
    <w:rsid w:val="00650B6E"/>
    <w:rsid w:val="00657C53"/>
    <w:rsid w:val="00661FC8"/>
    <w:rsid w:val="00683050"/>
    <w:rsid w:val="00683FCF"/>
    <w:rsid w:val="006B4230"/>
    <w:rsid w:val="006E3058"/>
    <w:rsid w:val="00700E1E"/>
    <w:rsid w:val="007151FF"/>
    <w:rsid w:val="00716C88"/>
    <w:rsid w:val="00722206"/>
    <w:rsid w:val="00722F7C"/>
    <w:rsid w:val="007245B8"/>
    <w:rsid w:val="00737385"/>
    <w:rsid w:val="00741B54"/>
    <w:rsid w:val="00742376"/>
    <w:rsid w:val="00745478"/>
    <w:rsid w:val="00776C22"/>
    <w:rsid w:val="007D1FAF"/>
    <w:rsid w:val="007D2B8E"/>
    <w:rsid w:val="007E4D1B"/>
    <w:rsid w:val="007F1C24"/>
    <w:rsid w:val="007F28CB"/>
    <w:rsid w:val="00801B9C"/>
    <w:rsid w:val="00806E1F"/>
    <w:rsid w:val="00815529"/>
    <w:rsid w:val="00844B71"/>
    <w:rsid w:val="0086202B"/>
    <w:rsid w:val="00867FE5"/>
    <w:rsid w:val="008746C7"/>
    <w:rsid w:val="008853B4"/>
    <w:rsid w:val="0088606B"/>
    <w:rsid w:val="008A1AAD"/>
    <w:rsid w:val="008A46FB"/>
    <w:rsid w:val="008B1A6D"/>
    <w:rsid w:val="008B581A"/>
    <w:rsid w:val="008D3B33"/>
    <w:rsid w:val="008D4DC5"/>
    <w:rsid w:val="008E6CF1"/>
    <w:rsid w:val="00900E30"/>
    <w:rsid w:val="00907555"/>
    <w:rsid w:val="00912BD7"/>
    <w:rsid w:val="00912BEB"/>
    <w:rsid w:val="009213B1"/>
    <w:rsid w:val="0092701B"/>
    <w:rsid w:val="0094258D"/>
    <w:rsid w:val="00951659"/>
    <w:rsid w:val="00956B67"/>
    <w:rsid w:val="00973C50"/>
    <w:rsid w:val="00977DB2"/>
    <w:rsid w:val="009942C5"/>
    <w:rsid w:val="009B449E"/>
    <w:rsid w:val="009E0F33"/>
    <w:rsid w:val="009E5989"/>
    <w:rsid w:val="00A36796"/>
    <w:rsid w:val="00A41315"/>
    <w:rsid w:val="00A46336"/>
    <w:rsid w:val="00A56B36"/>
    <w:rsid w:val="00A6701F"/>
    <w:rsid w:val="00A8256F"/>
    <w:rsid w:val="00A8284E"/>
    <w:rsid w:val="00AA2A73"/>
    <w:rsid w:val="00AA4D4F"/>
    <w:rsid w:val="00AA6FA5"/>
    <w:rsid w:val="00AC0352"/>
    <w:rsid w:val="00AC366E"/>
    <w:rsid w:val="00AC3F25"/>
    <w:rsid w:val="00AD68C3"/>
    <w:rsid w:val="00AE42A5"/>
    <w:rsid w:val="00AE4D55"/>
    <w:rsid w:val="00B02B6D"/>
    <w:rsid w:val="00B04D3C"/>
    <w:rsid w:val="00B1270E"/>
    <w:rsid w:val="00B179D9"/>
    <w:rsid w:val="00B215D0"/>
    <w:rsid w:val="00B21EAB"/>
    <w:rsid w:val="00B27F41"/>
    <w:rsid w:val="00B53A24"/>
    <w:rsid w:val="00B602BB"/>
    <w:rsid w:val="00B807E8"/>
    <w:rsid w:val="00BC1142"/>
    <w:rsid w:val="00BD3C4D"/>
    <w:rsid w:val="00BD616A"/>
    <w:rsid w:val="00C006AA"/>
    <w:rsid w:val="00C0627F"/>
    <w:rsid w:val="00C15B1C"/>
    <w:rsid w:val="00C22F54"/>
    <w:rsid w:val="00C27A01"/>
    <w:rsid w:val="00C51CB3"/>
    <w:rsid w:val="00C6482C"/>
    <w:rsid w:val="00C714CA"/>
    <w:rsid w:val="00C800B3"/>
    <w:rsid w:val="00C87A98"/>
    <w:rsid w:val="00C87E1D"/>
    <w:rsid w:val="00C95904"/>
    <w:rsid w:val="00CA5F5F"/>
    <w:rsid w:val="00CC3A9A"/>
    <w:rsid w:val="00CD3783"/>
    <w:rsid w:val="00CE5D16"/>
    <w:rsid w:val="00CF0DCB"/>
    <w:rsid w:val="00CF15C2"/>
    <w:rsid w:val="00CF4E31"/>
    <w:rsid w:val="00D11969"/>
    <w:rsid w:val="00D13EE3"/>
    <w:rsid w:val="00D14C93"/>
    <w:rsid w:val="00D220B9"/>
    <w:rsid w:val="00D25F82"/>
    <w:rsid w:val="00D62562"/>
    <w:rsid w:val="00D66069"/>
    <w:rsid w:val="00D71A03"/>
    <w:rsid w:val="00D73892"/>
    <w:rsid w:val="00D82781"/>
    <w:rsid w:val="00DA5546"/>
    <w:rsid w:val="00DA6161"/>
    <w:rsid w:val="00DB002E"/>
    <w:rsid w:val="00DB3A50"/>
    <w:rsid w:val="00DB4EE0"/>
    <w:rsid w:val="00DC68CD"/>
    <w:rsid w:val="00DF67B8"/>
    <w:rsid w:val="00E179E6"/>
    <w:rsid w:val="00E248B8"/>
    <w:rsid w:val="00E32543"/>
    <w:rsid w:val="00E57B45"/>
    <w:rsid w:val="00E62385"/>
    <w:rsid w:val="00E62C8A"/>
    <w:rsid w:val="00E747CC"/>
    <w:rsid w:val="00E86D2F"/>
    <w:rsid w:val="00EB0CCC"/>
    <w:rsid w:val="00EC2433"/>
    <w:rsid w:val="00EC4212"/>
    <w:rsid w:val="00EF1A4F"/>
    <w:rsid w:val="00F00BA0"/>
    <w:rsid w:val="00F059EB"/>
    <w:rsid w:val="00F10A6A"/>
    <w:rsid w:val="00F1245D"/>
    <w:rsid w:val="00F162E0"/>
    <w:rsid w:val="00F25937"/>
    <w:rsid w:val="00F367ED"/>
    <w:rsid w:val="00F37891"/>
    <w:rsid w:val="00F430C1"/>
    <w:rsid w:val="00F44509"/>
    <w:rsid w:val="00F676C8"/>
    <w:rsid w:val="00F70C45"/>
    <w:rsid w:val="00F739BA"/>
    <w:rsid w:val="00F754C2"/>
    <w:rsid w:val="00F90227"/>
    <w:rsid w:val="00F9068B"/>
    <w:rsid w:val="00F92BE5"/>
    <w:rsid w:val="00FA768C"/>
    <w:rsid w:val="00FB3EE9"/>
    <w:rsid w:val="00FC1D15"/>
    <w:rsid w:val="00FD68B9"/>
    <w:rsid w:val="00FE0636"/>
    <w:rsid w:val="00FE4F71"/>
    <w:rsid w:val="00FF1DCA"/>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0188"/>
  <w14:defaultImageDpi w14:val="32767"/>
  <w15:chartTrackingRefBased/>
  <w15:docId w15:val="{083E7BF2-999D-0448-8054-319EDB94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4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B04D3C"/>
    <w:pPr>
      <w:spacing w:before="120"/>
      <w:jc w:val="both"/>
    </w:pPr>
    <w:rPr>
      <w:rFonts w:ascii="Times New Roman" w:hAnsi="Times New Roman"/>
      <w:sz w:val="28"/>
      <w:lang w:val="en-AU"/>
    </w:rPr>
  </w:style>
  <w:style w:type="paragraph" w:customStyle="1" w:styleId="Heading1A">
    <w:name w:val="Heading 1A"/>
    <w:basedOn w:val="Normal"/>
    <w:next w:val="Paragraph"/>
    <w:qFormat/>
    <w:rsid w:val="008853B4"/>
    <w:pPr>
      <w:jc w:val="center"/>
    </w:pPr>
    <w:rPr>
      <w:b/>
      <w:sz w:val="32"/>
      <w:lang w:val="en-AU"/>
    </w:rPr>
  </w:style>
  <w:style w:type="paragraph" w:customStyle="1" w:styleId="Paragraph2">
    <w:name w:val="Paragraph 2"/>
    <w:basedOn w:val="Normal"/>
    <w:qFormat/>
    <w:rsid w:val="00F676C8"/>
    <w:pPr>
      <w:spacing w:before="120"/>
      <w:jc w:val="both"/>
    </w:pPr>
    <w:rPr>
      <w:lang w:val="en-AU"/>
    </w:rPr>
  </w:style>
  <w:style w:type="paragraph" w:customStyle="1" w:styleId="Section">
    <w:name w:val="Section"/>
    <w:basedOn w:val="ListParagraph"/>
    <w:qFormat/>
    <w:rsid w:val="00900E30"/>
    <w:pPr>
      <w:widowControl w:val="0"/>
      <w:numPr>
        <w:numId w:val="1"/>
      </w:numPr>
      <w:shd w:val="clear" w:color="auto" w:fill="FFFFFF"/>
      <w:autoSpaceDE w:val="0"/>
      <w:autoSpaceDN w:val="0"/>
      <w:adjustRightInd w:val="0"/>
      <w:spacing w:before="120" w:line="480" w:lineRule="auto"/>
      <w:ind w:right="14"/>
      <w:jc w:val="both"/>
    </w:pPr>
    <w:rPr>
      <w:rFonts w:ascii="Arial" w:eastAsia="Times New Roman" w:hAnsi="Arial" w:cs="Arial"/>
      <w:color w:val="000000"/>
      <w:spacing w:val="9"/>
      <w:sz w:val="22"/>
      <w:szCs w:val="20"/>
      <w:lang w:val="en-US" w:eastAsia="en-AU"/>
    </w:rPr>
  </w:style>
  <w:style w:type="paragraph" w:styleId="ListParagraph">
    <w:name w:val="List Paragraph"/>
    <w:basedOn w:val="Normal"/>
    <w:uiPriority w:val="34"/>
    <w:qFormat/>
    <w:rsid w:val="00900E30"/>
    <w:pPr>
      <w:ind w:left="720"/>
      <w:contextualSpacing/>
    </w:pPr>
  </w:style>
  <w:style w:type="paragraph" w:customStyle="1" w:styleId="Subsection">
    <w:name w:val="Subsection"/>
    <w:basedOn w:val="Normal"/>
    <w:next w:val="Section"/>
    <w:qFormat/>
    <w:rsid w:val="00900E30"/>
    <w:pPr>
      <w:widowControl w:val="0"/>
      <w:shd w:val="clear" w:color="auto" w:fill="FFFFFF"/>
      <w:autoSpaceDE w:val="0"/>
      <w:autoSpaceDN w:val="0"/>
      <w:adjustRightInd w:val="0"/>
      <w:spacing w:line="480" w:lineRule="auto"/>
      <w:ind w:right="24"/>
      <w:jc w:val="both"/>
    </w:pPr>
    <w:rPr>
      <w:rFonts w:ascii="Arial" w:eastAsia="Times New Roman" w:hAnsi="Arial" w:cs="Arial"/>
      <w:color w:val="000000"/>
      <w:spacing w:val="1"/>
      <w:sz w:val="22"/>
      <w:szCs w:val="20"/>
      <w:lang w:val="en-US" w:eastAsia="en-AU"/>
    </w:rPr>
  </w:style>
  <w:style w:type="paragraph" w:customStyle="1" w:styleId="Sub-subparagraph">
    <w:name w:val="Sub-subparagraph"/>
    <w:basedOn w:val="Paragraph"/>
    <w:qFormat/>
    <w:rsid w:val="00900E30"/>
    <w:pPr>
      <w:spacing w:before="0" w:line="523" w:lineRule="exact"/>
      <w:ind w:left="2160" w:hanging="720"/>
    </w:pPr>
    <w:rPr>
      <w:rFonts w:ascii="Arial" w:eastAsia="Times" w:hAnsi="Arial" w:cs="Arial"/>
      <w:sz w:val="22"/>
      <w:szCs w:val="20"/>
      <w:lang w:eastAsia="en-AU"/>
    </w:rPr>
  </w:style>
  <w:style w:type="character" w:customStyle="1" w:styleId="Heading2Char">
    <w:name w:val="Heading 2 Char"/>
    <w:basedOn w:val="DefaultParagraphFont"/>
    <w:link w:val="Heading2"/>
    <w:uiPriority w:val="9"/>
    <w:rsid w:val="00844B7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213B1"/>
    <w:rPr>
      <w:sz w:val="20"/>
      <w:szCs w:val="20"/>
    </w:rPr>
  </w:style>
  <w:style w:type="character" w:customStyle="1" w:styleId="FootnoteTextChar">
    <w:name w:val="Footnote Text Char"/>
    <w:basedOn w:val="DefaultParagraphFont"/>
    <w:link w:val="FootnoteText"/>
    <w:uiPriority w:val="99"/>
    <w:semiHidden/>
    <w:rsid w:val="009213B1"/>
    <w:rPr>
      <w:sz w:val="20"/>
      <w:szCs w:val="20"/>
    </w:rPr>
  </w:style>
  <w:style w:type="character" w:styleId="FootnoteReference">
    <w:name w:val="footnote reference"/>
    <w:basedOn w:val="DefaultParagraphFont"/>
    <w:uiPriority w:val="99"/>
    <w:semiHidden/>
    <w:unhideWhenUsed/>
    <w:rsid w:val="009213B1"/>
    <w:rPr>
      <w:vertAlign w:val="superscript"/>
    </w:rPr>
  </w:style>
  <w:style w:type="paragraph" w:styleId="BalloonText">
    <w:name w:val="Balloon Text"/>
    <w:basedOn w:val="Normal"/>
    <w:link w:val="BalloonTextChar"/>
    <w:uiPriority w:val="99"/>
    <w:semiHidden/>
    <w:unhideWhenUsed/>
    <w:rsid w:val="00F124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45D"/>
    <w:rPr>
      <w:rFonts w:ascii="Times New Roman" w:hAnsi="Times New Roman" w:cs="Times New Roman"/>
      <w:sz w:val="18"/>
      <w:szCs w:val="18"/>
    </w:rPr>
  </w:style>
  <w:style w:type="paragraph" w:styleId="Header">
    <w:name w:val="header"/>
    <w:basedOn w:val="Normal"/>
    <w:link w:val="HeaderChar"/>
    <w:uiPriority w:val="99"/>
    <w:unhideWhenUsed/>
    <w:rsid w:val="008A46FB"/>
    <w:pPr>
      <w:tabs>
        <w:tab w:val="center" w:pos="4513"/>
        <w:tab w:val="right" w:pos="9026"/>
      </w:tabs>
    </w:pPr>
  </w:style>
  <w:style w:type="character" w:customStyle="1" w:styleId="HeaderChar">
    <w:name w:val="Header Char"/>
    <w:basedOn w:val="DefaultParagraphFont"/>
    <w:link w:val="Header"/>
    <w:uiPriority w:val="99"/>
    <w:rsid w:val="008A46FB"/>
  </w:style>
  <w:style w:type="character" w:styleId="PageNumber">
    <w:name w:val="page number"/>
    <w:basedOn w:val="DefaultParagraphFont"/>
    <w:uiPriority w:val="99"/>
    <w:semiHidden/>
    <w:unhideWhenUsed/>
    <w:rsid w:val="008A46FB"/>
  </w:style>
  <w:style w:type="character" w:styleId="Hyperlink">
    <w:name w:val="Hyperlink"/>
    <w:basedOn w:val="DefaultParagraphFont"/>
    <w:uiPriority w:val="99"/>
    <w:unhideWhenUsed/>
    <w:rsid w:val="00722F7C"/>
    <w:rPr>
      <w:color w:val="0563C1" w:themeColor="hyperlink"/>
      <w:u w:val="single"/>
    </w:rPr>
  </w:style>
  <w:style w:type="character" w:styleId="UnresolvedMention">
    <w:name w:val="Unresolved Mention"/>
    <w:basedOn w:val="DefaultParagraphFont"/>
    <w:uiPriority w:val="99"/>
    <w:rsid w:val="00722F7C"/>
    <w:rPr>
      <w:color w:val="605E5C"/>
      <w:shd w:val="clear" w:color="auto" w:fill="E1DFDD"/>
    </w:rPr>
  </w:style>
  <w:style w:type="character" w:styleId="FollowedHyperlink">
    <w:name w:val="FollowedHyperlink"/>
    <w:basedOn w:val="DefaultParagraphFont"/>
    <w:uiPriority w:val="99"/>
    <w:semiHidden/>
    <w:unhideWhenUsed/>
    <w:rsid w:val="00722F7C"/>
    <w:rPr>
      <w:color w:val="954F72" w:themeColor="followedHyperlink"/>
      <w:u w:val="single"/>
    </w:rPr>
  </w:style>
  <w:style w:type="paragraph" w:styleId="Footer">
    <w:name w:val="footer"/>
    <w:basedOn w:val="Normal"/>
    <w:link w:val="FooterChar"/>
    <w:uiPriority w:val="99"/>
    <w:unhideWhenUsed/>
    <w:rsid w:val="00956B67"/>
    <w:pPr>
      <w:tabs>
        <w:tab w:val="center" w:pos="4513"/>
        <w:tab w:val="right" w:pos="9026"/>
      </w:tabs>
    </w:pPr>
  </w:style>
  <w:style w:type="character" w:customStyle="1" w:styleId="FooterChar">
    <w:name w:val="Footer Char"/>
    <w:basedOn w:val="DefaultParagraphFont"/>
    <w:link w:val="Footer"/>
    <w:uiPriority w:val="99"/>
    <w:rsid w:val="00956B67"/>
  </w:style>
  <w:style w:type="paragraph" w:styleId="NormalWeb">
    <w:name w:val="Normal (Web)"/>
    <w:basedOn w:val="Normal"/>
    <w:uiPriority w:val="99"/>
    <w:unhideWhenUsed/>
    <w:rsid w:val="00CF4E31"/>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Fraser</dc:creator>
  <cp:keywords/>
  <dc:description/>
  <cp:lastModifiedBy>susan black</cp:lastModifiedBy>
  <cp:revision>2</cp:revision>
  <cp:lastPrinted>2020-08-03T03:15:00Z</cp:lastPrinted>
  <dcterms:created xsi:type="dcterms:W3CDTF">2020-10-05T05:54:00Z</dcterms:created>
  <dcterms:modified xsi:type="dcterms:W3CDTF">2020-10-05T05:54:00Z</dcterms:modified>
  <cp:category/>
</cp:coreProperties>
</file>